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sz w:val="32"/>
          <w:szCs w:val="32"/>
        </w:rPr>
      </w:pPr>
      <w:r>
        <w:rPr>
          <w:rFonts w:hint="eastAsia" w:ascii="宋体" w:hAnsi="宋体"/>
          <w:sz w:val="32"/>
          <w:szCs w:val="32"/>
        </w:rPr>
        <w:t>北京大学人民医院设备招标文件</w:t>
      </w:r>
    </w:p>
    <w:p>
      <w:pPr>
        <w:jc w:val="center"/>
        <w:rPr>
          <w:rFonts w:hint="eastAsia" w:ascii="宋体" w:hAnsi="宋体" w:cs="Arial"/>
          <w:szCs w:val="21"/>
        </w:rPr>
      </w:pPr>
      <w:r>
        <w:rPr>
          <w:rFonts w:hint="eastAsia" w:asciiTheme="minorEastAsia" w:hAnsiTheme="minorEastAsia" w:eastAsiaTheme="minorEastAsia"/>
          <w:color w:val="000000"/>
          <w:szCs w:val="21"/>
        </w:rPr>
        <w:t>一、为满足临床科室需求，招标</w:t>
      </w:r>
      <w:r>
        <w:rPr>
          <w:rFonts w:asciiTheme="minorEastAsia" w:hAnsiTheme="minorEastAsia" w:eastAsiaTheme="minorEastAsia"/>
          <w:color w:val="000000"/>
          <w:szCs w:val="21"/>
        </w:rPr>
        <w:t>采购中心</w:t>
      </w:r>
      <w:r>
        <w:rPr>
          <w:rFonts w:hint="eastAsia" w:asciiTheme="minorEastAsia" w:hAnsiTheme="minorEastAsia" w:eastAsiaTheme="minorEastAsia"/>
          <w:color w:val="000000"/>
          <w:szCs w:val="21"/>
        </w:rPr>
        <w:t>拟对</w:t>
      </w:r>
      <w:r>
        <w:rPr>
          <w:rFonts w:hint="eastAsia" w:ascii="宋体" w:hAnsi="宋体" w:cs="Arial"/>
          <w:szCs w:val="21"/>
        </w:rPr>
        <w:t>疑难病症诊治能力提升工程（重症医学方向）</w:t>
      </w:r>
    </w:p>
    <w:p>
      <w:pPr>
        <w:jc w:val="center"/>
        <w:rPr>
          <w:rFonts w:asciiTheme="minorEastAsia" w:hAnsiTheme="minorEastAsia" w:eastAsiaTheme="minorEastAsia"/>
          <w:color w:val="000000"/>
          <w:szCs w:val="21"/>
        </w:rPr>
      </w:pPr>
      <w:r>
        <w:rPr>
          <w:rFonts w:hint="eastAsia" w:ascii="宋体" w:hAnsi="宋体" w:cs="Arial"/>
          <w:szCs w:val="21"/>
        </w:rPr>
        <w:t>信息化建设监理项目</w:t>
      </w:r>
      <w:r>
        <w:rPr>
          <w:rFonts w:hint="eastAsia" w:asciiTheme="minorEastAsia" w:hAnsiTheme="minorEastAsia" w:eastAsiaTheme="minorEastAsia"/>
          <w:color w:val="000000"/>
          <w:szCs w:val="21"/>
        </w:rPr>
        <w:t>进行院内招标采购，采购项目内容如下</w:t>
      </w:r>
      <w:r>
        <w:rPr>
          <w:rFonts w:asciiTheme="minorEastAsia" w:hAnsiTheme="minorEastAsia" w:eastAsiaTheme="minorEastAsia"/>
          <w:color w:val="000000"/>
          <w:szCs w:val="21"/>
        </w:rPr>
        <w:t>：</w:t>
      </w:r>
    </w:p>
    <w:p>
      <w:pPr>
        <w:spacing w:line="360" w:lineRule="auto"/>
        <w:ind w:left="118" w:right="5721"/>
        <w:rPr>
          <w:rFonts w:cs="微软雅黑" w:asciiTheme="minorEastAsia" w:hAnsiTheme="minorEastAsia"/>
          <w:sz w:val="24"/>
          <w:szCs w:val="24"/>
        </w:rPr>
      </w:pPr>
      <w:r>
        <w:rPr>
          <w:rFonts w:asciiTheme="minorEastAsia" w:hAnsiTheme="minorEastAsia"/>
          <w:b/>
          <w:bCs/>
          <w:sz w:val="24"/>
          <w:szCs w:val="24"/>
        </w:rPr>
        <w:t>1.</w:t>
      </w:r>
      <w:r>
        <w:rPr>
          <w:rFonts w:cs="微软雅黑" w:asciiTheme="minorEastAsia" w:hAnsiTheme="minorEastAsia"/>
          <w:spacing w:val="2"/>
          <w:sz w:val="24"/>
          <w:szCs w:val="24"/>
        </w:rPr>
        <w:t>项</w:t>
      </w:r>
      <w:r>
        <w:rPr>
          <w:rFonts w:cs="微软雅黑" w:asciiTheme="minorEastAsia" w:hAnsiTheme="minorEastAsia"/>
          <w:sz w:val="24"/>
          <w:szCs w:val="24"/>
        </w:rPr>
        <w:t>目</w:t>
      </w:r>
      <w:r>
        <w:rPr>
          <w:rFonts w:cs="微软雅黑" w:asciiTheme="minorEastAsia" w:hAnsiTheme="minorEastAsia"/>
          <w:spacing w:val="2"/>
          <w:sz w:val="24"/>
          <w:szCs w:val="24"/>
        </w:rPr>
        <w:t>概</w:t>
      </w:r>
      <w:r>
        <w:rPr>
          <w:rFonts w:hint="eastAsia" w:cs="微软雅黑" w:asciiTheme="minorEastAsia" w:hAnsiTheme="minorEastAsia"/>
          <w:spacing w:val="2"/>
          <w:sz w:val="24"/>
          <w:szCs w:val="24"/>
        </w:rPr>
        <w:t>况</w:t>
      </w:r>
    </w:p>
    <w:p>
      <w:pPr>
        <w:pStyle w:val="4"/>
        <w:spacing w:before="58" w:line="360" w:lineRule="auto"/>
        <w:ind w:left="598" w:right="215" w:hanging="480"/>
        <w:rPr>
          <w:rFonts w:asciiTheme="minorEastAsia" w:hAnsiTheme="minorEastAsia" w:eastAsiaTheme="minorEastAsia"/>
          <w:spacing w:val="2"/>
        </w:rPr>
      </w:pPr>
      <w:r>
        <w:rPr>
          <w:rFonts w:cs="Arial" w:asciiTheme="minorEastAsia" w:hAnsiTheme="minorEastAsia" w:eastAsiaTheme="minorEastAsia"/>
          <w:spacing w:val="2"/>
        </w:rPr>
        <w:t>1</w:t>
      </w:r>
      <w:r>
        <w:rPr>
          <w:rFonts w:cs="Arial" w:asciiTheme="minorEastAsia" w:hAnsiTheme="minorEastAsia" w:eastAsiaTheme="minorEastAsia"/>
        </w:rPr>
        <w:t>.1</w:t>
      </w:r>
      <w:r>
        <w:rPr>
          <w:rFonts w:cs="Arial" w:asciiTheme="minorEastAsia" w:hAnsiTheme="minorEastAsia" w:eastAsiaTheme="minorEastAsia"/>
          <w:spacing w:val="18"/>
        </w:rPr>
        <w:t xml:space="preserve"> </w:t>
      </w:r>
      <w:r>
        <w:rPr>
          <w:rFonts w:asciiTheme="minorEastAsia" w:hAnsiTheme="minorEastAsia" w:eastAsiaTheme="minorEastAsia"/>
        </w:rPr>
        <w:t>疑难</w:t>
      </w:r>
      <w:r>
        <w:rPr>
          <w:rFonts w:asciiTheme="minorEastAsia" w:hAnsiTheme="minorEastAsia" w:eastAsiaTheme="minorEastAsia"/>
          <w:spacing w:val="2"/>
        </w:rPr>
        <w:t>病</w:t>
      </w:r>
      <w:r>
        <w:rPr>
          <w:rFonts w:asciiTheme="minorEastAsia" w:hAnsiTheme="minorEastAsia" w:eastAsiaTheme="minorEastAsia"/>
        </w:rPr>
        <w:t>症</w:t>
      </w:r>
      <w:r>
        <w:rPr>
          <w:rFonts w:asciiTheme="minorEastAsia" w:hAnsiTheme="minorEastAsia" w:eastAsiaTheme="minorEastAsia"/>
          <w:spacing w:val="2"/>
        </w:rPr>
        <w:t>诊</w:t>
      </w:r>
      <w:r>
        <w:rPr>
          <w:rFonts w:asciiTheme="minorEastAsia" w:hAnsiTheme="minorEastAsia" w:eastAsiaTheme="minorEastAsia"/>
        </w:rPr>
        <w:t>治能力</w:t>
      </w:r>
      <w:r>
        <w:rPr>
          <w:rFonts w:asciiTheme="minorEastAsia" w:hAnsiTheme="minorEastAsia" w:eastAsiaTheme="minorEastAsia"/>
          <w:spacing w:val="2"/>
        </w:rPr>
        <w:t>提</w:t>
      </w:r>
      <w:r>
        <w:rPr>
          <w:rFonts w:asciiTheme="minorEastAsia" w:hAnsiTheme="minorEastAsia" w:eastAsiaTheme="minorEastAsia"/>
        </w:rPr>
        <w:t>升</w:t>
      </w:r>
      <w:r>
        <w:rPr>
          <w:rFonts w:asciiTheme="minorEastAsia" w:hAnsiTheme="minorEastAsia" w:eastAsiaTheme="minorEastAsia"/>
          <w:spacing w:val="2"/>
        </w:rPr>
        <w:t>工程（</w:t>
      </w:r>
      <w:r>
        <w:rPr>
          <w:rFonts w:hint="eastAsia" w:asciiTheme="minorEastAsia" w:hAnsiTheme="minorEastAsia" w:eastAsiaTheme="minorEastAsia"/>
          <w:spacing w:val="2"/>
        </w:rPr>
        <w:t>重症医学方向</w:t>
      </w:r>
      <w:r>
        <w:rPr>
          <w:rFonts w:asciiTheme="minorEastAsia" w:hAnsiTheme="minorEastAsia" w:eastAsiaTheme="minorEastAsia"/>
          <w:spacing w:val="2"/>
        </w:rPr>
        <w:t>）</w:t>
      </w:r>
      <w:r>
        <w:rPr>
          <w:rFonts w:hint="eastAsia" w:asciiTheme="minorEastAsia" w:hAnsiTheme="minorEastAsia" w:eastAsiaTheme="minorEastAsia"/>
          <w:spacing w:val="2"/>
        </w:rPr>
        <w:t>信息化</w:t>
      </w:r>
      <w:r>
        <w:rPr>
          <w:rFonts w:asciiTheme="minorEastAsia" w:hAnsiTheme="minorEastAsia" w:eastAsiaTheme="minorEastAsia"/>
          <w:spacing w:val="2"/>
        </w:rPr>
        <w:t>建设</w:t>
      </w:r>
      <w:r>
        <w:rPr>
          <w:rFonts w:hint="eastAsia" w:asciiTheme="minorEastAsia" w:hAnsiTheme="minorEastAsia" w:eastAsiaTheme="minorEastAsia"/>
          <w:spacing w:val="2"/>
        </w:rPr>
        <w:t>内容主要包括e-ICU系统、重症医学信息</w:t>
      </w:r>
      <w:r>
        <w:rPr>
          <w:rFonts w:asciiTheme="minorEastAsia" w:hAnsiTheme="minorEastAsia" w:eastAsiaTheme="minorEastAsia"/>
        </w:rPr>
        <w:t>系统</w:t>
      </w:r>
      <w:r>
        <w:rPr>
          <w:rFonts w:hint="eastAsia" w:asciiTheme="minorEastAsia" w:hAnsiTheme="minorEastAsia" w:eastAsiaTheme="minorEastAsia"/>
        </w:rPr>
        <w:t>、</w:t>
      </w:r>
      <w:r>
        <w:rPr>
          <w:rFonts w:hint="eastAsia" w:cs="Arial" w:asciiTheme="minorEastAsia" w:hAnsiTheme="minorEastAsia" w:eastAsiaTheme="minorEastAsia"/>
        </w:rPr>
        <w:t>医疗</w:t>
      </w:r>
      <w:bookmarkStart w:id="0" w:name="_GoBack"/>
      <w:bookmarkEnd w:id="0"/>
      <w:r>
        <w:rPr>
          <w:rFonts w:hint="eastAsia" w:cs="Arial" w:asciiTheme="minorEastAsia" w:hAnsiTheme="minorEastAsia" w:eastAsiaTheme="minorEastAsia"/>
        </w:rPr>
        <w:t>协同与示教系统、</w:t>
      </w:r>
      <w:r>
        <w:rPr>
          <w:rFonts w:hint="eastAsia" w:asciiTheme="minorEastAsia" w:hAnsiTheme="minorEastAsia" w:eastAsiaTheme="minorEastAsia"/>
        </w:rPr>
        <w:t>科研应用管理平台、重症医学临床业务应用及多中心质量监测平台、医院数据治理平台等项目。</w:t>
      </w:r>
      <w:r>
        <w:rPr>
          <w:rFonts w:asciiTheme="minorEastAsia" w:hAnsiTheme="minorEastAsia" w:eastAsiaTheme="minorEastAsia"/>
        </w:rPr>
        <w:t>疑难</w:t>
      </w:r>
      <w:r>
        <w:rPr>
          <w:rFonts w:asciiTheme="minorEastAsia" w:hAnsiTheme="minorEastAsia" w:eastAsiaTheme="minorEastAsia"/>
          <w:spacing w:val="2"/>
        </w:rPr>
        <w:t>病</w:t>
      </w:r>
      <w:r>
        <w:rPr>
          <w:rFonts w:asciiTheme="minorEastAsia" w:hAnsiTheme="minorEastAsia" w:eastAsiaTheme="minorEastAsia"/>
        </w:rPr>
        <w:t>症</w:t>
      </w:r>
      <w:r>
        <w:rPr>
          <w:rFonts w:asciiTheme="minorEastAsia" w:hAnsiTheme="minorEastAsia" w:eastAsiaTheme="minorEastAsia"/>
          <w:spacing w:val="2"/>
        </w:rPr>
        <w:t>诊</w:t>
      </w:r>
      <w:r>
        <w:rPr>
          <w:rFonts w:asciiTheme="minorEastAsia" w:hAnsiTheme="minorEastAsia" w:eastAsiaTheme="minorEastAsia"/>
        </w:rPr>
        <w:t>治能力</w:t>
      </w:r>
      <w:r>
        <w:rPr>
          <w:rFonts w:asciiTheme="minorEastAsia" w:hAnsiTheme="minorEastAsia" w:eastAsiaTheme="minorEastAsia"/>
          <w:spacing w:val="2"/>
        </w:rPr>
        <w:t>提</w:t>
      </w:r>
      <w:r>
        <w:rPr>
          <w:rFonts w:asciiTheme="minorEastAsia" w:hAnsiTheme="minorEastAsia" w:eastAsiaTheme="minorEastAsia"/>
        </w:rPr>
        <w:t>升</w:t>
      </w:r>
      <w:r>
        <w:rPr>
          <w:rFonts w:asciiTheme="minorEastAsia" w:hAnsiTheme="minorEastAsia" w:eastAsiaTheme="minorEastAsia"/>
          <w:spacing w:val="2"/>
        </w:rPr>
        <w:t>工程（</w:t>
      </w:r>
      <w:r>
        <w:rPr>
          <w:rFonts w:hint="eastAsia" w:asciiTheme="minorEastAsia" w:hAnsiTheme="minorEastAsia" w:eastAsiaTheme="minorEastAsia"/>
          <w:spacing w:val="2"/>
        </w:rPr>
        <w:t>重症医学方向</w:t>
      </w:r>
      <w:r>
        <w:rPr>
          <w:rFonts w:asciiTheme="minorEastAsia" w:hAnsiTheme="minorEastAsia" w:eastAsiaTheme="minorEastAsia"/>
          <w:spacing w:val="2"/>
        </w:rPr>
        <w:t>）</w:t>
      </w:r>
      <w:r>
        <w:rPr>
          <w:rFonts w:hint="eastAsia" w:asciiTheme="minorEastAsia" w:hAnsiTheme="minorEastAsia" w:eastAsiaTheme="minorEastAsia"/>
          <w:spacing w:val="2"/>
        </w:rPr>
        <w:t>信息化建设预算3377万，</w:t>
      </w:r>
      <w:r>
        <w:rPr>
          <w:rFonts w:hint="eastAsia" w:asciiTheme="minorEastAsia" w:hAnsiTheme="minorEastAsia" w:eastAsiaTheme="minorEastAsia"/>
        </w:rPr>
        <w:t>本项目预算33万元。</w:t>
      </w:r>
    </w:p>
    <w:p>
      <w:pPr>
        <w:pStyle w:val="4"/>
        <w:spacing w:before="58" w:line="360" w:lineRule="auto"/>
        <w:ind w:left="598" w:right="215" w:hanging="480"/>
        <w:rPr>
          <w:rFonts w:asciiTheme="minorEastAsia" w:hAnsiTheme="minorEastAsia" w:eastAsiaTheme="minorEastAsia"/>
        </w:rPr>
      </w:pPr>
      <w:r>
        <w:rPr>
          <w:rFonts w:cs="Arial" w:asciiTheme="minorEastAsia" w:hAnsiTheme="minorEastAsia" w:eastAsiaTheme="minorEastAsia"/>
          <w:spacing w:val="2"/>
        </w:rPr>
        <w:t>1</w:t>
      </w:r>
      <w:r>
        <w:rPr>
          <w:rFonts w:cs="Arial" w:asciiTheme="minorEastAsia" w:hAnsiTheme="minorEastAsia" w:eastAsiaTheme="minorEastAsia"/>
        </w:rPr>
        <w:t>.</w:t>
      </w:r>
      <w:r>
        <w:rPr>
          <w:rFonts w:hint="eastAsia" w:cs="Arial" w:asciiTheme="minorEastAsia" w:hAnsiTheme="minorEastAsia" w:eastAsiaTheme="minorEastAsia"/>
        </w:rPr>
        <w:t>1</w:t>
      </w:r>
      <w:r>
        <w:rPr>
          <w:rFonts w:cs="Arial" w:asciiTheme="minorEastAsia" w:hAnsiTheme="minorEastAsia" w:eastAsiaTheme="minorEastAsia"/>
        </w:rPr>
        <w:t>.</w:t>
      </w:r>
      <w:r>
        <w:rPr>
          <w:rFonts w:hint="eastAsia" w:cs="Arial" w:asciiTheme="minorEastAsia" w:hAnsiTheme="minorEastAsia" w:eastAsiaTheme="minorEastAsia"/>
        </w:rPr>
        <w:t>1</w:t>
      </w:r>
      <w:r>
        <w:rPr>
          <w:rFonts w:cs="Arial" w:asciiTheme="minorEastAsia" w:hAnsiTheme="minorEastAsia" w:eastAsiaTheme="minorEastAsia"/>
          <w:spacing w:val="55"/>
        </w:rPr>
        <w:t xml:space="preserve"> </w:t>
      </w:r>
      <w:r>
        <w:rPr>
          <w:rFonts w:hint="eastAsia" w:asciiTheme="minorEastAsia" w:hAnsiTheme="minorEastAsia" w:eastAsiaTheme="minorEastAsia"/>
          <w:spacing w:val="2"/>
        </w:rPr>
        <w:t>e-ICU</w:t>
      </w:r>
      <w:r>
        <w:rPr>
          <w:rFonts w:asciiTheme="minorEastAsia" w:hAnsiTheme="minorEastAsia" w:eastAsiaTheme="minorEastAsia"/>
        </w:rPr>
        <w:t>系统</w:t>
      </w:r>
    </w:p>
    <w:p>
      <w:pPr>
        <w:pStyle w:val="4"/>
        <w:spacing w:before="58" w:line="360" w:lineRule="auto"/>
        <w:ind w:right="88" w:firstLine="480"/>
        <w:rPr>
          <w:rFonts w:asciiTheme="minorEastAsia" w:hAnsiTheme="minorEastAsia" w:eastAsiaTheme="minorEastAsia"/>
        </w:rPr>
      </w:pPr>
      <w:r>
        <w:rPr>
          <w:rFonts w:hint="eastAsia" w:asciiTheme="minorEastAsia" w:hAnsiTheme="minorEastAsia" w:eastAsiaTheme="minorEastAsia"/>
        </w:rPr>
        <w:t>e-ICU系统建设是我院疑难病症诊治能力提升工程其中的一部分建设内容。现拟采购的国产化e-ICU系统以大数据、云计算、5G、人工智能技术为支撑，底层技术架构采用混合云技术，可以实现多院区业务的同质化、一体化管理和各院区之间的跨院区远程业务协同，能够有效保障医院的医疗服务能力提高和发挥医护人员的远程协同工作能力。</w:t>
      </w:r>
    </w:p>
    <w:p>
      <w:pPr>
        <w:pStyle w:val="4"/>
        <w:spacing w:before="58" w:line="360" w:lineRule="auto"/>
        <w:ind w:right="88" w:firstLine="480"/>
        <w:rPr>
          <w:rFonts w:asciiTheme="minorEastAsia" w:hAnsiTheme="minorEastAsia" w:eastAsiaTheme="minorEastAsia"/>
        </w:rPr>
      </w:pPr>
      <w:r>
        <w:rPr>
          <w:rFonts w:hint="eastAsia" w:asciiTheme="minorEastAsia" w:hAnsiTheme="minorEastAsia" w:eastAsiaTheme="minorEastAsia"/>
        </w:rPr>
        <w:t>e-ICU系统将需要完成3个节点的建设，每个节点8张床，共计24张床位，硬件设备和软件围绕此目标建设部署，并部署2个监护指导中心和1个e-ICU教学培训中心。项目内容包括：</w:t>
      </w:r>
    </w:p>
    <w:tbl>
      <w:tblPr>
        <w:tblStyle w:val="10"/>
        <w:tblW w:w="4341" w:type="pct"/>
        <w:tblInd w:w="1142" w:type="dxa"/>
        <w:tblLayout w:type="autofit"/>
        <w:tblCellMar>
          <w:top w:w="15" w:type="dxa"/>
          <w:left w:w="15" w:type="dxa"/>
          <w:bottom w:w="15" w:type="dxa"/>
          <w:right w:w="15" w:type="dxa"/>
        </w:tblCellMar>
      </w:tblPr>
      <w:tblGrid>
        <w:gridCol w:w="715"/>
        <w:gridCol w:w="3119"/>
        <w:gridCol w:w="3403"/>
      </w:tblGrid>
      <w:tr>
        <w:tblPrEx>
          <w:tblCellMar>
            <w:top w:w="15" w:type="dxa"/>
            <w:left w:w="15" w:type="dxa"/>
            <w:bottom w:w="15" w:type="dxa"/>
            <w:right w:w="15"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序号</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项目内容</w:t>
            </w:r>
          </w:p>
        </w:tc>
        <w:tc>
          <w:tcPr>
            <w:tcW w:w="23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备注</w:t>
            </w:r>
          </w:p>
        </w:tc>
      </w:tr>
      <w:tr>
        <w:tblPrEx>
          <w:tblCellMar>
            <w:top w:w="15" w:type="dxa"/>
            <w:left w:w="15" w:type="dxa"/>
            <w:bottom w:w="15" w:type="dxa"/>
            <w:right w:w="15" w:type="dxa"/>
          </w:tblCellMar>
        </w:tblPrEx>
        <w:trPr>
          <w:trHeight w:val="37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e-ICU 床旁互动系统配套硬件</w:t>
            </w:r>
          </w:p>
        </w:tc>
        <w:tc>
          <w:tcPr>
            <w:tcW w:w="23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3个节点，每节点8张床，共24张</w:t>
            </w:r>
          </w:p>
        </w:tc>
      </w:tr>
      <w:tr>
        <w:tblPrEx>
          <w:tblCellMar>
            <w:top w:w="15" w:type="dxa"/>
            <w:left w:w="15" w:type="dxa"/>
            <w:bottom w:w="15" w:type="dxa"/>
            <w:right w:w="15"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e-ICU 实时监控系统配套硬件</w:t>
            </w:r>
          </w:p>
        </w:tc>
        <w:tc>
          <w:tcPr>
            <w:tcW w:w="23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3个护士站</w:t>
            </w:r>
          </w:p>
        </w:tc>
      </w:tr>
      <w:tr>
        <w:tblPrEx>
          <w:tblCellMar>
            <w:top w:w="15" w:type="dxa"/>
            <w:left w:w="15" w:type="dxa"/>
            <w:bottom w:w="15" w:type="dxa"/>
            <w:right w:w="15" w:type="dxa"/>
          </w:tblCellMar>
        </w:tblPrEx>
        <w:trPr>
          <w:trHeight w:val="90"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e-ICU 监护互动系统配套硬件</w:t>
            </w:r>
          </w:p>
        </w:tc>
        <w:tc>
          <w:tcPr>
            <w:tcW w:w="23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监护指导中心2个</w:t>
            </w:r>
          </w:p>
        </w:tc>
      </w:tr>
      <w:tr>
        <w:tblPrEx>
          <w:tblCellMar>
            <w:top w:w="15" w:type="dxa"/>
            <w:left w:w="15" w:type="dxa"/>
            <w:bottom w:w="15" w:type="dxa"/>
            <w:right w:w="15"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4</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e-ICU 远程示教系统配套硬件</w:t>
            </w:r>
          </w:p>
        </w:tc>
        <w:tc>
          <w:tcPr>
            <w:tcW w:w="23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教学培训中心1个</w:t>
            </w:r>
          </w:p>
        </w:tc>
      </w:tr>
      <w:tr>
        <w:tblPrEx>
          <w:tblCellMar>
            <w:top w:w="15" w:type="dxa"/>
            <w:left w:w="15" w:type="dxa"/>
            <w:bottom w:w="15" w:type="dxa"/>
            <w:right w:w="15"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5</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交互控制管理系统</w:t>
            </w:r>
          </w:p>
        </w:tc>
        <w:tc>
          <w:tcPr>
            <w:tcW w:w="23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Theme="majorEastAsia" w:hAnsiTheme="majorEastAsia" w:eastAsiaTheme="majorEastAsia" w:cstheme="majorEastAsia"/>
                <w:color w:val="000000" w:themeColor="text1"/>
                <w14:textFill>
                  <w14:solidFill>
                    <w14:schemeClr w14:val="tx1"/>
                  </w14:solidFill>
                </w14:textFill>
              </w:rPr>
            </w:pPr>
          </w:p>
        </w:tc>
      </w:tr>
      <w:tr>
        <w:tblPrEx>
          <w:tblCellMar>
            <w:top w:w="15" w:type="dxa"/>
            <w:left w:w="15" w:type="dxa"/>
            <w:bottom w:w="15" w:type="dxa"/>
            <w:right w:w="15"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6</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交互数据采集系统</w:t>
            </w:r>
          </w:p>
        </w:tc>
        <w:tc>
          <w:tcPr>
            <w:tcW w:w="23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Theme="majorEastAsia" w:hAnsiTheme="majorEastAsia" w:eastAsiaTheme="majorEastAsia" w:cstheme="majorEastAsia"/>
                <w:color w:val="000000" w:themeColor="text1"/>
                <w14:textFill>
                  <w14:solidFill>
                    <w14:schemeClr w14:val="tx1"/>
                  </w14:solidFill>
                </w14:textFill>
              </w:rPr>
            </w:pPr>
          </w:p>
        </w:tc>
      </w:tr>
      <w:tr>
        <w:tblPrEx>
          <w:tblCellMar>
            <w:top w:w="15" w:type="dxa"/>
            <w:left w:w="15" w:type="dxa"/>
            <w:bottom w:w="15" w:type="dxa"/>
            <w:right w:w="15"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7</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高清录播服务系统</w:t>
            </w:r>
          </w:p>
        </w:tc>
        <w:tc>
          <w:tcPr>
            <w:tcW w:w="23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Theme="majorEastAsia" w:hAnsiTheme="majorEastAsia" w:eastAsiaTheme="majorEastAsia" w:cstheme="majorEastAsia"/>
                <w:color w:val="000000" w:themeColor="text1"/>
                <w14:textFill>
                  <w14:solidFill>
                    <w14:schemeClr w14:val="tx1"/>
                  </w14:solidFill>
                </w14:textFill>
              </w:rPr>
            </w:pPr>
          </w:p>
        </w:tc>
      </w:tr>
      <w:tr>
        <w:tblPrEx>
          <w:tblCellMar>
            <w:top w:w="15" w:type="dxa"/>
            <w:left w:w="15" w:type="dxa"/>
            <w:bottom w:w="15" w:type="dxa"/>
            <w:right w:w="15"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8</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院内外互联互通服务系统</w:t>
            </w:r>
          </w:p>
        </w:tc>
        <w:tc>
          <w:tcPr>
            <w:tcW w:w="23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Theme="majorEastAsia" w:hAnsiTheme="majorEastAsia" w:eastAsiaTheme="majorEastAsia" w:cstheme="majorEastAsia"/>
                <w:color w:val="000000" w:themeColor="text1"/>
                <w14:textFill>
                  <w14:solidFill>
                    <w14:schemeClr w14:val="tx1"/>
                  </w14:solidFill>
                </w14:textFill>
              </w:rPr>
            </w:pPr>
          </w:p>
        </w:tc>
      </w:tr>
      <w:tr>
        <w:tblPrEx>
          <w:tblCellMar>
            <w:top w:w="15" w:type="dxa"/>
            <w:left w:w="15" w:type="dxa"/>
            <w:bottom w:w="15" w:type="dxa"/>
            <w:right w:w="15"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9</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媒体内容存储分发管理系统</w:t>
            </w:r>
          </w:p>
        </w:tc>
        <w:tc>
          <w:tcPr>
            <w:tcW w:w="23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Theme="majorEastAsia" w:hAnsiTheme="majorEastAsia" w:eastAsiaTheme="majorEastAsia" w:cstheme="majorEastAsia"/>
                <w:color w:val="000000" w:themeColor="text1"/>
                <w14:textFill>
                  <w14:solidFill>
                    <w14:schemeClr w14:val="tx1"/>
                  </w14:solidFill>
                </w14:textFill>
              </w:rPr>
            </w:pPr>
          </w:p>
        </w:tc>
      </w:tr>
      <w:tr>
        <w:tblPrEx>
          <w:tblCellMar>
            <w:top w:w="15" w:type="dxa"/>
            <w:left w:w="15" w:type="dxa"/>
            <w:bottom w:w="15" w:type="dxa"/>
            <w:right w:w="15"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10</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e-ICU 监控互动客户端</w:t>
            </w:r>
          </w:p>
        </w:tc>
        <w:tc>
          <w:tcPr>
            <w:tcW w:w="23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Theme="majorEastAsia" w:hAnsiTheme="majorEastAsia" w:eastAsiaTheme="majorEastAsia" w:cstheme="majorEastAsia"/>
                <w:color w:val="000000" w:themeColor="text1"/>
                <w14:textFill>
                  <w14:solidFill>
                    <w14:schemeClr w14:val="tx1"/>
                  </w14:solidFill>
                </w14:textFill>
              </w:rPr>
            </w:pPr>
          </w:p>
        </w:tc>
      </w:tr>
      <w:tr>
        <w:tblPrEx>
          <w:tblCellMar>
            <w:top w:w="15" w:type="dxa"/>
            <w:left w:w="15" w:type="dxa"/>
            <w:bottom w:w="15" w:type="dxa"/>
            <w:right w:w="15"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11</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e-ICU 示教客户端</w:t>
            </w:r>
          </w:p>
        </w:tc>
        <w:tc>
          <w:tcPr>
            <w:tcW w:w="23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Theme="majorEastAsia" w:hAnsiTheme="majorEastAsia" w:eastAsiaTheme="majorEastAsia" w:cstheme="majorEastAsia"/>
                <w:color w:val="000000" w:themeColor="text1"/>
                <w14:textFill>
                  <w14:solidFill>
                    <w14:schemeClr w14:val="tx1"/>
                  </w14:solidFill>
                </w14:textFill>
              </w:rPr>
            </w:pPr>
          </w:p>
        </w:tc>
      </w:tr>
      <w:tr>
        <w:tblPrEx>
          <w:tblCellMar>
            <w:top w:w="15" w:type="dxa"/>
            <w:left w:w="15" w:type="dxa"/>
            <w:bottom w:w="15" w:type="dxa"/>
            <w:right w:w="15"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w:t>
            </w:r>
            <w:r>
              <w:rPr>
                <w:rFonts w:asciiTheme="majorEastAsia" w:hAnsiTheme="majorEastAsia" w:eastAsiaTheme="majorEastAsia" w:cstheme="majorEastAsia"/>
                <w:color w:val="000000" w:themeColor="text1"/>
                <w14:textFill>
                  <w14:solidFill>
                    <w14:schemeClr w14:val="tx1"/>
                  </w14:solidFill>
                </w14:textFill>
              </w:rPr>
              <w:t>2</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安卓培训互动App</w:t>
            </w:r>
          </w:p>
        </w:tc>
        <w:tc>
          <w:tcPr>
            <w:tcW w:w="23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Theme="majorEastAsia" w:hAnsiTheme="majorEastAsia" w:eastAsiaTheme="majorEastAsia" w:cstheme="majorEastAsia"/>
                <w:color w:val="000000" w:themeColor="text1"/>
                <w14:textFill>
                  <w14:solidFill>
                    <w14:schemeClr w14:val="tx1"/>
                  </w14:solidFill>
                </w14:textFill>
              </w:rPr>
            </w:pPr>
          </w:p>
        </w:tc>
      </w:tr>
      <w:tr>
        <w:tblPrEx>
          <w:tblCellMar>
            <w:top w:w="15" w:type="dxa"/>
            <w:left w:w="15" w:type="dxa"/>
            <w:bottom w:w="15" w:type="dxa"/>
            <w:right w:w="15"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w:t>
            </w:r>
            <w:r>
              <w:rPr>
                <w:rFonts w:asciiTheme="majorEastAsia" w:hAnsiTheme="majorEastAsia" w:eastAsiaTheme="majorEastAsia" w:cstheme="majorEastAsia"/>
                <w:color w:val="000000" w:themeColor="text1"/>
                <w14:textFill>
                  <w14:solidFill>
                    <w14:schemeClr w14:val="tx1"/>
                  </w14:solidFill>
                </w14:textFill>
              </w:rPr>
              <w:t>3</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IOS 培训互动App</w:t>
            </w:r>
          </w:p>
        </w:tc>
        <w:tc>
          <w:tcPr>
            <w:tcW w:w="23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Theme="majorEastAsia" w:hAnsiTheme="majorEastAsia" w:eastAsiaTheme="majorEastAsia" w:cstheme="majorEastAsia"/>
                <w:color w:val="000000" w:themeColor="text1"/>
                <w14:textFill>
                  <w14:solidFill>
                    <w14:schemeClr w14:val="tx1"/>
                  </w14:solidFill>
                </w14:textFill>
              </w:rPr>
            </w:pPr>
          </w:p>
        </w:tc>
      </w:tr>
    </w:tbl>
    <w:p>
      <w:pPr>
        <w:pStyle w:val="4"/>
        <w:spacing w:before="13" w:line="360" w:lineRule="auto"/>
        <w:ind w:left="598" w:right="88" w:hanging="480"/>
        <w:rPr>
          <w:rFonts w:asciiTheme="minorEastAsia" w:hAnsiTheme="minorEastAsia" w:eastAsiaTheme="minorEastAsia"/>
        </w:rPr>
      </w:pPr>
      <w:r>
        <w:rPr>
          <w:rFonts w:cs="Arial" w:asciiTheme="minorEastAsia" w:hAnsiTheme="minorEastAsia" w:eastAsiaTheme="minorEastAsia"/>
          <w:spacing w:val="2"/>
        </w:rPr>
        <w:t>1</w:t>
      </w:r>
      <w:r>
        <w:rPr>
          <w:rFonts w:cs="Arial" w:asciiTheme="minorEastAsia" w:hAnsiTheme="minorEastAsia" w:eastAsiaTheme="minorEastAsia"/>
        </w:rPr>
        <w:t>.</w:t>
      </w:r>
      <w:r>
        <w:rPr>
          <w:rFonts w:hint="eastAsia" w:cs="Arial" w:asciiTheme="minorEastAsia" w:hAnsiTheme="minorEastAsia" w:eastAsiaTheme="minorEastAsia"/>
          <w:spacing w:val="1"/>
        </w:rPr>
        <w:t>1</w:t>
      </w:r>
      <w:r>
        <w:rPr>
          <w:rFonts w:cs="Arial" w:asciiTheme="minorEastAsia" w:hAnsiTheme="minorEastAsia" w:eastAsiaTheme="minorEastAsia"/>
        </w:rPr>
        <w:t>.2</w:t>
      </w:r>
      <w:r>
        <w:rPr>
          <w:rFonts w:cs="Arial" w:asciiTheme="minorEastAsia" w:hAnsiTheme="minorEastAsia" w:eastAsiaTheme="minorEastAsia"/>
          <w:spacing w:val="55"/>
        </w:rPr>
        <w:t xml:space="preserve"> </w:t>
      </w:r>
      <w:r>
        <w:rPr>
          <w:rFonts w:hint="eastAsia" w:asciiTheme="minorEastAsia" w:hAnsiTheme="minorEastAsia" w:eastAsiaTheme="minorEastAsia"/>
          <w:spacing w:val="2"/>
        </w:rPr>
        <w:t>重症医学信息</w:t>
      </w:r>
      <w:r>
        <w:rPr>
          <w:rFonts w:asciiTheme="minorEastAsia" w:hAnsiTheme="minorEastAsia" w:eastAsiaTheme="minorEastAsia"/>
        </w:rPr>
        <w:t>系统</w:t>
      </w:r>
    </w:p>
    <w:p>
      <w:pPr>
        <w:pStyle w:val="4"/>
        <w:spacing w:before="58" w:line="360" w:lineRule="auto"/>
        <w:ind w:right="88" w:firstLine="480"/>
        <w:rPr>
          <w:rFonts w:asciiTheme="minorEastAsia" w:hAnsiTheme="minorEastAsia" w:eastAsiaTheme="minorEastAsia"/>
        </w:rPr>
      </w:pPr>
      <w:r>
        <w:rPr>
          <w:rFonts w:hint="eastAsia" w:asciiTheme="minorEastAsia" w:hAnsiTheme="minorEastAsia" w:eastAsiaTheme="minorEastAsia"/>
        </w:rPr>
        <w:t>本项目核心建设内容是建设更加符合我院发展趋势和需求的ICU重症监护信息管理系统，利用高科技技术手段，实现ICU系统的混合云部署，建设ICU移动医生助手，能够让医护人员实现移动化办公，提高工作效率。为了保障重症疑难病症的救治效率，将建设多学科会诊系统和转诊系统。为了使重症医学科管理更加规范、科学和严谨，能够将重症医学科的日常工作更加标准化、流程化和自动化，将建设ICU知识库内容管理系统和业务运营管理系统。系统内容包括：</w:t>
      </w:r>
    </w:p>
    <w:tbl>
      <w:tblPr>
        <w:tblStyle w:val="10"/>
        <w:tblW w:w="3146" w:type="pct"/>
        <w:tblInd w:w="1335" w:type="dxa"/>
        <w:tblLayout w:type="autofit"/>
        <w:tblCellMar>
          <w:top w:w="15" w:type="dxa"/>
          <w:left w:w="15" w:type="dxa"/>
          <w:bottom w:w="15" w:type="dxa"/>
          <w:right w:w="15" w:type="dxa"/>
        </w:tblCellMar>
      </w:tblPr>
      <w:tblGrid>
        <w:gridCol w:w="1393"/>
        <w:gridCol w:w="3852"/>
      </w:tblGrid>
      <w:tr>
        <w:tblPrEx>
          <w:tblCellMar>
            <w:top w:w="15" w:type="dxa"/>
            <w:left w:w="15" w:type="dxa"/>
            <w:bottom w:w="15" w:type="dxa"/>
            <w:right w:w="15" w:type="dxa"/>
          </w:tblCellMar>
        </w:tblPrEx>
        <w:trPr>
          <w:trHeight w:val="255" w:hRule="atLeast"/>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序号</w:t>
            </w:r>
          </w:p>
        </w:tc>
        <w:tc>
          <w:tcPr>
            <w:tcW w:w="3672"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项目内容</w:t>
            </w:r>
          </w:p>
        </w:tc>
      </w:tr>
      <w:tr>
        <w:tblPrEx>
          <w:tblCellMar>
            <w:top w:w="15" w:type="dxa"/>
            <w:left w:w="15" w:type="dxa"/>
            <w:bottom w:w="15" w:type="dxa"/>
            <w:right w:w="15" w:type="dxa"/>
          </w:tblCellMar>
        </w:tblPrEx>
        <w:trPr>
          <w:trHeight w:val="532" w:hRule="atLeast"/>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1</w:t>
            </w:r>
          </w:p>
        </w:tc>
        <w:tc>
          <w:tcPr>
            <w:tcW w:w="3672"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textAlignment w:val="bottom"/>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ICU重症监护系统</w:t>
            </w:r>
          </w:p>
        </w:tc>
      </w:tr>
      <w:tr>
        <w:tblPrEx>
          <w:tblCellMar>
            <w:top w:w="15" w:type="dxa"/>
            <w:left w:w="15" w:type="dxa"/>
            <w:bottom w:w="15" w:type="dxa"/>
            <w:right w:w="15" w:type="dxa"/>
          </w:tblCellMar>
        </w:tblPrEx>
        <w:trPr>
          <w:trHeight w:val="477" w:hRule="atLeast"/>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2</w:t>
            </w:r>
          </w:p>
        </w:tc>
        <w:tc>
          <w:tcPr>
            <w:tcW w:w="3672"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textAlignment w:val="bottom"/>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ICU 移动医生助手</w:t>
            </w:r>
          </w:p>
        </w:tc>
      </w:tr>
      <w:tr>
        <w:tblPrEx>
          <w:tblCellMar>
            <w:top w:w="15" w:type="dxa"/>
            <w:left w:w="15" w:type="dxa"/>
            <w:bottom w:w="15" w:type="dxa"/>
            <w:right w:w="15" w:type="dxa"/>
          </w:tblCellMar>
        </w:tblPrEx>
        <w:trPr>
          <w:trHeight w:val="442" w:hRule="atLeast"/>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rPr>
            </w:pPr>
            <w:r>
              <w:rPr>
                <w:rFonts w:asciiTheme="majorEastAsia" w:hAnsiTheme="majorEastAsia" w:eastAsiaTheme="majorEastAsia" w:cstheme="majorEastAsia"/>
                <w:color w:val="000000"/>
              </w:rPr>
              <w:t>3</w:t>
            </w:r>
          </w:p>
        </w:tc>
        <w:tc>
          <w:tcPr>
            <w:tcW w:w="3672"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textAlignment w:val="bottom"/>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配套支撑设施（数据库、操作系统等）</w:t>
            </w:r>
          </w:p>
        </w:tc>
      </w:tr>
      <w:tr>
        <w:tblPrEx>
          <w:tblCellMar>
            <w:top w:w="15" w:type="dxa"/>
            <w:left w:w="15" w:type="dxa"/>
            <w:bottom w:w="15" w:type="dxa"/>
            <w:right w:w="15" w:type="dxa"/>
          </w:tblCellMar>
        </w:tblPrEx>
        <w:trPr>
          <w:trHeight w:val="255" w:hRule="atLeast"/>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rPr>
            </w:pPr>
            <w:r>
              <w:rPr>
                <w:rFonts w:asciiTheme="majorEastAsia" w:hAnsiTheme="majorEastAsia" w:eastAsiaTheme="majorEastAsia" w:cstheme="majorEastAsia"/>
                <w:color w:val="000000"/>
              </w:rPr>
              <w:t>4</w:t>
            </w:r>
          </w:p>
        </w:tc>
        <w:tc>
          <w:tcPr>
            <w:tcW w:w="3672"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textAlignment w:val="bottom"/>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themeColor="text1"/>
                <w14:textFill>
                  <w14:solidFill>
                    <w14:schemeClr w14:val="tx1"/>
                  </w14:solidFill>
                </w14:textFill>
              </w:rPr>
              <w:t>ICU信息系统定制开发服务</w:t>
            </w:r>
          </w:p>
        </w:tc>
      </w:tr>
      <w:tr>
        <w:tblPrEx>
          <w:tblCellMar>
            <w:top w:w="15" w:type="dxa"/>
            <w:left w:w="15" w:type="dxa"/>
            <w:bottom w:w="15" w:type="dxa"/>
            <w:right w:w="15" w:type="dxa"/>
          </w:tblCellMar>
        </w:tblPrEx>
        <w:trPr>
          <w:trHeight w:val="255" w:hRule="atLeast"/>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5</w:t>
            </w:r>
          </w:p>
        </w:tc>
        <w:tc>
          <w:tcPr>
            <w:tcW w:w="3672"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textAlignment w:val="bottom"/>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系统集成服务</w:t>
            </w:r>
          </w:p>
        </w:tc>
      </w:tr>
    </w:tbl>
    <w:p>
      <w:pPr>
        <w:pStyle w:val="4"/>
        <w:spacing w:before="15" w:line="360" w:lineRule="auto"/>
        <w:ind w:left="598" w:hanging="480"/>
        <w:rPr>
          <w:rFonts w:asciiTheme="minorEastAsia" w:hAnsiTheme="minorEastAsia" w:eastAsiaTheme="minorEastAsia"/>
        </w:rPr>
      </w:pPr>
      <w:r>
        <w:rPr>
          <w:rFonts w:cs="Arial" w:asciiTheme="minorEastAsia" w:hAnsiTheme="minorEastAsia" w:eastAsiaTheme="minorEastAsia"/>
          <w:spacing w:val="2"/>
        </w:rPr>
        <w:t>1</w:t>
      </w:r>
      <w:r>
        <w:rPr>
          <w:rFonts w:cs="Arial" w:asciiTheme="minorEastAsia" w:hAnsiTheme="minorEastAsia" w:eastAsiaTheme="minorEastAsia"/>
        </w:rPr>
        <w:t>.</w:t>
      </w:r>
      <w:r>
        <w:rPr>
          <w:rFonts w:hint="eastAsia" w:cs="Arial" w:asciiTheme="minorEastAsia" w:hAnsiTheme="minorEastAsia" w:eastAsiaTheme="minorEastAsia"/>
        </w:rPr>
        <w:t>1</w:t>
      </w:r>
      <w:r>
        <w:rPr>
          <w:rFonts w:cs="Arial" w:asciiTheme="minorEastAsia" w:hAnsiTheme="minorEastAsia" w:eastAsiaTheme="minorEastAsia"/>
        </w:rPr>
        <w:t>.3</w:t>
      </w:r>
      <w:r>
        <w:rPr>
          <w:rFonts w:hint="eastAsia" w:cs="Arial" w:asciiTheme="minorEastAsia" w:hAnsiTheme="minorEastAsia" w:eastAsiaTheme="minorEastAsia"/>
        </w:rPr>
        <w:t>医疗协同与示教系统</w:t>
      </w:r>
      <w:r>
        <w:rPr>
          <w:rFonts w:asciiTheme="minorEastAsia" w:hAnsiTheme="minorEastAsia" w:eastAsiaTheme="minorEastAsia"/>
        </w:rPr>
        <w:t xml:space="preserve"> </w:t>
      </w:r>
    </w:p>
    <w:p>
      <w:pPr>
        <w:pStyle w:val="4"/>
        <w:spacing w:before="58" w:line="360" w:lineRule="auto"/>
        <w:ind w:right="88" w:firstLine="480"/>
        <w:rPr>
          <w:rFonts w:asciiTheme="minorEastAsia" w:hAnsiTheme="minorEastAsia" w:eastAsiaTheme="minorEastAsia"/>
        </w:rPr>
      </w:pPr>
      <w:r>
        <w:rPr>
          <w:rFonts w:hint="eastAsia" w:asciiTheme="minorEastAsia" w:hAnsiTheme="minorEastAsia" w:eastAsiaTheme="minorEastAsia"/>
        </w:rPr>
        <w:t>医疗协同与示教系统采用分布式系统构建，可全面覆盖北大人民医院各个分院区。建设范围以北大人民医院西直门院区为中心医院，连接各个分院区和医联体协作医院，除了能够提供远程医疗协作、示教、远程医疗培训等相关服务，建立远程协作中心、远程示教中心等功能中心，还可以很方便的引入外部优质医疗资源。系统内容包括：</w:t>
      </w:r>
    </w:p>
    <w:tbl>
      <w:tblPr>
        <w:tblStyle w:val="10"/>
        <w:tblW w:w="3312" w:type="pct"/>
        <w:tblInd w:w="1582" w:type="dxa"/>
        <w:tblLayout w:type="autofit"/>
        <w:tblCellMar>
          <w:top w:w="15" w:type="dxa"/>
          <w:left w:w="15" w:type="dxa"/>
          <w:bottom w:w="15" w:type="dxa"/>
          <w:right w:w="15" w:type="dxa"/>
        </w:tblCellMar>
      </w:tblPr>
      <w:tblGrid>
        <w:gridCol w:w="1166"/>
        <w:gridCol w:w="4356"/>
      </w:tblGrid>
      <w:tr>
        <w:tblPrEx>
          <w:tblCellMar>
            <w:top w:w="15" w:type="dxa"/>
            <w:left w:w="15" w:type="dxa"/>
            <w:bottom w:w="15" w:type="dxa"/>
            <w:right w:w="15" w:type="dxa"/>
          </w:tblCellMar>
        </w:tblPrEx>
        <w:trPr>
          <w:trHeight w:val="255"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序号</w:t>
            </w:r>
          </w:p>
        </w:tc>
        <w:tc>
          <w:tcPr>
            <w:tcW w:w="394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项目内容</w:t>
            </w:r>
          </w:p>
        </w:tc>
      </w:tr>
      <w:tr>
        <w:tblPrEx>
          <w:tblCellMar>
            <w:top w:w="15" w:type="dxa"/>
            <w:left w:w="15" w:type="dxa"/>
            <w:bottom w:w="15" w:type="dxa"/>
            <w:right w:w="15" w:type="dxa"/>
          </w:tblCellMar>
        </w:tblPrEx>
        <w:trPr>
          <w:trHeight w:val="255"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w:t>
            </w:r>
          </w:p>
        </w:tc>
        <w:tc>
          <w:tcPr>
            <w:tcW w:w="394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医疗协同与示教系统配套硬件</w:t>
            </w:r>
          </w:p>
        </w:tc>
      </w:tr>
      <w:tr>
        <w:tblPrEx>
          <w:tblCellMar>
            <w:top w:w="15" w:type="dxa"/>
            <w:left w:w="15" w:type="dxa"/>
            <w:bottom w:w="15" w:type="dxa"/>
            <w:right w:w="15" w:type="dxa"/>
          </w:tblCellMar>
        </w:tblPrEx>
        <w:trPr>
          <w:trHeight w:val="255"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w:t>
            </w:r>
          </w:p>
        </w:tc>
        <w:tc>
          <w:tcPr>
            <w:tcW w:w="394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示教中心互动培训会议媒体转发服务软件</w:t>
            </w:r>
          </w:p>
        </w:tc>
      </w:tr>
      <w:tr>
        <w:tblPrEx>
          <w:tblCellMar>
            <w:top w:w="15" w:type="dxa"/>
            <w:left w:w="15" w:type="dxa"/>
            <w:bottom w:w="15" w:type="dxa"/>
            <w:right w:w="15" w:type="dxa"/>
          </w:tblCellMar>
        </w:tblPrEx>
        <w:trPr>
          <w:trHeight w:val="255"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w:t>
            </w:r>
          </w:p>
        </w:tc>
        <w:tc>
          <w:tcPr>
            <w:tcW w:w="394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示教中心内容存储分发系统</w:t>
            </w:r>
          </w:p>
        </w:tc>
      </w:tr>
      <w:tr>
        <w:tblPrEx>
          <w:tblCellMar>
            <w:top w:w="15" w:type="dxa"/>
            <w:left w:w="15" w:type="dxa"/>
            <w:bottom w:w="15" w:type="dxa"/>
            <w:right w:w="15" w:type="dxa"/>
          </w:tblCellMar>
        </w:tblPrEx>
        <w:trPr>
          <w:trHeight w:val="255"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4</w:t>
            </w:r>
          </w:p>
        </w:tc>
        <w:tc>
          <w:tcPr>
            <w:tcW w:w="394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示教中心课程录播系统</w:t>
            </w:r>
          </w:p>
        </w:tc>
      </w:tr>
      <w:tr>
        <w:tblPrEx>
          <w:tblCellMar>
            <w:top w:w="15" w:type="dxa"/>
            <w:left w:w="15" w:type="dxa"/>
            <w:bottom w:w="15" w:type="dxa"/>
            <w:right w:w="15" w:type="dxa"/>
          </w:tblCellMar>
        </w:tblPrEx>
        <w:trPr>
          <w:trHeight w:val="255"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5</w:t>
            </w:r>
          </w:p>
        </w:tc>
        <w:tc>
          <w:tcPr>
            <w:tcW w:w="394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示教中心管理系统</w:t>
            </w:r>
          </w:p>
        </w:tc>
      </w:tr>
      <w:tr>
        <w:tblPrEx>
          <w:tblCellMar>
            <w:top w:w="15" w:type="dxa"/>
            <w:left w:w="15" w:type="dxa"/>
            <w:bottom w:w="15" w:type="dxa"/>
            <w:right w:w="15" w:type="dxa"/>
          </w:tblCellMar>
        </w:tblPrEx>
        <w:trPr>
          <w:trHeight w:val="255"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6</w:t>
            </w:r>
          </w:p>
        </w:tc>
        <w:tc>
          <w:tcPr>
            <w:tcW w:w="394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协作中心管理系统</w:t>
            </w:r>
          </w:p>
        </w:tc>
      </w:tr>
      <w:tr>
        <w:tblPrEx>
          <w:tblCellMar>
            <w:top w:w="15" w:type="dxa"/>
            <w:left w:w="15" w:type="dxa"/>
            <w:bottom w:w="15" w:type="dxa"/>
            <w:right w:w="15" w:type="dxa"/>
          </w:tblCellMar>
        </w:tblPrEx>
        <w:trPr>
          <w:trHeight w:val="255"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宋体" w:hAnsi="宋体" w:cs="宋体"/>
                <w:color w:val="000000"/>
              </w:rPr>
              <w:t>7</w:t>
            </w:r>
          </w:p>
        </w:tc>
        <w:tc>
          <w:tcPr>
            <w:tcW w:w="394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宋体" w:hAnsi="宋体" w:cs="宋体"/>
                <w:color w:val="000000"/>
              </w:rPr>
              <w:t>协作中心医学协作系统</w:t>
            </w:r>
          </w:p>
        </w:tc>
      </w:tr>
      <w:tr>
        <w:tblPrEx>
          <w:tblCellMar>
            <w:top w:w="15" w:type="dxa"/>
            <w:left w:w="15" w:type="dxa"/>
            <w:bottom w:w="15" w:type="dxa"/>
            <w:right w:w="15" w:type="dxa"/>
          </w:tblCellMar>
        </w:tblPrEx>
        <w:trPr>
          <w:trHeight w:val="255"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宋体" w:hAnsi="宋体" w:cs="宋体"/>
                <w:color w:val="000000"/>
              </w:rPr>
              <w:t>8</w:t>
            </w:r>
          </w:p>
        </w:tc>
        <w:tc>
          <w:tcPr>
            <w:tcW w:w="3944" w:type="pc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textAlignment w:val="bottom"/>
              <w:rPr>
                <w:rFonts w:asciiTheme="majorEastAsia" w:hAnsiTheme="majorEastAsia" w:eastAsiaTheme="majorEastAsia" w:cstheme="majorEastAsia"/>
                <w:color w:val="000000" w:themeColor="text1"/>
                <w14:textFill>
                  <w14:solidFill>
                    <w14:schemeClr w14:val="tx1"/>
                  </w14:solidFill>
                </w14:textFill>
              </w:rPr>
            </w:pPr>
            <w:r>
              <w:rPr>
                <w:rFonts w:hint="eastAsia" w:ascii="宋体" w:hAnsi="宋体" w:cs="宋体"/>
                <w:color w:val="000000"/>
              </w:rPr>
              <w:t>中心会诊终端系统</w:t>
            </w:r>
          </w:p>
        </w:tc>
      </w:tr>
    </w:tbl>
    <w:p>
      <w:pPr>
        <w:pStyle w:val="4"/>
        <w:spacing w:before="15" w:line="360" w:lineRule="auto"/>
        <w:ind w:left="598" w:hanging="480"/>
        <w:rPr>
          <w:rFonts w:asciiTheme="minorEastAsia" w:hAnsiTheme="minorEastAsia" w:eastAsiaTheme="minorEastAsia"/>
        </w:rPr>
      </w:pPr>
      <w:r>
        <w:rPr>
          <w:rFonts w:hint="eastAsia" w:asciiTheme="minorEastAsia" w:hAnsiTheme="minorEastAsia" w:eastAsiaTheme="minorEastAsia"/>
        </w:rPr>
        <w:t>1.1.4 科研应用管理平台</w:t>
      </w:r>
    </w:p>
    <w:p>
      <w:pPr>
        <w:pStyle w:val="27"/>
        <w:snapToGrid w:val="0"/>
        <w:spacing w:after="0"/>
        <w:ind w:right="-50" w:rightChars="-24"/>
        <w:rPr>
          <w:rFonts w:ascii="宋体" w:hAnsi="宋体"/>
          <w:szCs w:val="24"/>
          <w:lang w:eastAsia="zh-CN"/>
        </w:rPr>
      </w:pPr>
      <w:r>
        <w:rPr>
          <w:rFonts w:hint="eastAsia" w:asciiTheme="minorEastAsia" w:hAnsiTheme="minorEastAsia" w:eastAsiaTheme="minorEastAsia"/>
          <w:szCs w:val="24"/>
          <w:lang w:eastAsia="zh-CN"/>
        </w:rPr>
        <w:t>科研应用管理平台将围绕医院学科发展以及质量管理需求，</w:t>
      </w:r>
      <w:r>
        <w:rPr>
          <w:rFonts w:hint="eastAsia" w:asciiTheme="minorEastAsia" w:hAnsiTheme="minorEastAsia" w:eastAsiaTheme="minorEastAsia"/>
          <w:lang w:eastAsia="zh-CN"/>
        </w:rPr>
        <w:t>通过信息化手段，大数据+人工智能技术，</w:t>
      </w:r>
      <w:r>
        <w:rPr>
          <w:rFonts w:hint="eastAsia" w:asciiTheme="minorEastAsia" w:hAnsiTheme="minorEastAsia" w:eastAsiaTheme="minorEastAsia"/>
          <w:szCs w:val="24"/>
          <w:lang w:eastAsia="zh-CN"/>
        </w:rPr>
        <w:t>建设平台支持科研应用。</w:t>
      </w:r>
      <w:r>
        <w:rPr>
          <w:rFonts w:hint="eastAsia" w:asciiTheme="minorEastAsia" w:hAnsiTheme="minorEastAsia" w:eastAsiaTheme="minorEastAsia"/>
          <w:lang w:eastAsia="zh-CN"/>
        </w:rPr>
        <w:t>大力支持医教研管发展，支持我院在疑难病症诊治提升方面起到攻关作用和区域带头作用。</w:t>
      </w:r>
      <w:r>
        <w:rPr>
          <w:rFonts w:hint="eastAsia" w:ascii="宋体" w:hAnsi="宋体"/>
          <w:szCs w:val="24"/>
          <w:lang w:eastAsia="zh-CN"/>
        </w:rPr>
        <w:t>项目基于医院的发展和科研管理需求，围绕医院学科发展以及质量管理需求，建设科研应用管理平台以支持科研应用。具体功能模块包括：</w:t>
      </w:r>
    </w:p>
    <w:tbl>
      <w:tblPr>
        <w:tblStyle w:val="10"/>
        <w:tblW w:w="5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4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64" w:type="dxa"/>
            <w:tcMar>
              <w:left w:w="57" w:type="dxa"/>
              <w:right w:w="57" w:type="dxa"/>
            </w:tcMar>
          </w:tcPr>
          <w:p>
            <w:pPr>
              <w:snapToGrid w:val="0"/>
              <w:spacing w:line="360" w:lineRule="auto"/>
              <w:jc w:val="center"/>
              <w:rPr>
                <w:rFonts w:asciiTheme="minorEastAsia" w:hAnsiTheme="minorEastAsia"/>
                <w:b/>
                <w:bCs/>
              </w:rPr>
            </w:pPr>
            <w:r>
              <w:rPr>
                <w:rFonts w:hint="eastAsia" w:asciiTheme="minorEastAsia" w:hAnsiTheme="minorEastAsia"/>
                <w:b/>
                <w:bCs/>
              </w:rPr>
              <w:t>序号</w:t>
            </w:r>
          </w:p>
        </w:tc>
        <w:tc>
          <w:tcPr>
            <w:tcW w:w="4166" w:type="dxa"/>
            <w:tcMar>
              <w:left w:w="57" w:type="dxa"/>
              <w:right w:w="57" w:type="dxa"/>
            </w:tcMar>
          </w:tcPr>
          <w:p>
            <w:pPr>
              <w:snapToGrid w:val="0"/>
              <w:spacing w:line="360" w:lineRule="auto"/>
              <w:rPr>
                <w:rFonts w:asciiTheme="minorEastAsia" w:hAnsiTheme="minorEastAsia"/>
                <w:b/>
                <w:bCs/>
              </w:rPr>
            </w:pPr>
            <w:r>
              <w:rPr>
                <w:rFonts w:hint="eastAsia" w:asciiTheme="minorEastAsia" w:hAnsiTheme="minorEastAsia"/>
                <w:b/>
                <w:bCs/>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64" w:type="dxa"/>
            <w:tcMar>
              <w:left w:w="57" w:type="dxa"/>
              <w:right w:w="57" w:type="dxa"/>
            </w:tcMar>
          </w:tcPr>
          <w:p>
            <w:pPr>
              <w:snapToGrid w:val="0"/>
              <w:spacing w:line="360" w:lineRule="auto"/>
              <w:jc w:val="center"/>
              <w:rPr>
                <w:rFonts w:asciiTheme="minorEastAsia" w:hAnsiTheme="minorEastAsia"/>
              </w:rPr>
            </w:pPr>
            <w:r>
              <w:rPr>
                <w:rFonts w:asciiTheme="minorEastAsia" w:hAnsiTheme="minorEastAsia"/>
              </w:rPr>
              <w:t>1</w:t>
            </w:r>
          </w:p>
        </w:tc>
        <w:tc>
          <w:tcPr>
            <w:tcW w:w="4166" w:type="dxa"/>
            <w:tcMar>
              <w:left w:w="57" w:type="dxa"/>
              <w:right w:w="57" w:type="dxa"/>
            </w:tcMar>
            <w:vAlign w:val="center"/>
          </w:tcPr>
          <w:p>
            <w:pPr>
              <w:snapToGrid w:val="0"/>
              <w:spacing w:line="360" w:lineRule="auto"/>
              <w:rPr>
                <w:rFonts w:asciiTheme="minorEastAsia" w:hAnsiTheme="minorEastAsia"/>
              </w:rPr>
            </w:pPr>
            <w:r>
              <w:rPr>
                <w:rFonts w:hint="eastAsia" w:asciiTheme="minorEastAsia" w:hAnsiTheme="minorEastAsia"/>
                <w:color w:val="000000"/>
              </w:rPr>
              <w:t>科研课题设计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64" w:type="dxa"/>
            <w:tcMar>
              <w:left w:w="57" w:type="dxa"/>
              <w:right w:w="57" w:type="dxa"/>
            </w:tcMar>
          </w:tcPr>
          <w:p>
            <w:pPr>
              <w:snapToGrid w:val="0"/>
              <w:spacing w:line="360" w:lineRule="auto"/>
              <w:jc w:val="center"/>
              <w:rPr>
                <w:rFonts w:asciiTheme="minorEastAsia" w:hAnsiTheme="minorEastAsia"/>
              </w:rPr>
            </w:pPr>
            <w:r>
              <w:rPr>
                <w:rFonts w:asciiTheme="minorEastAsia" w:hAnsiTheme="minorEastAsia"/>
              </w:rPr>
              <w:t>2</w:t>
            </w:r>
          </w:p>
        </w:tc>
        <w:tc>
          <w:tcPr>
            <w:tcW w:w="4166" w:type="dxa"/>
            <w:tcMar>
              <w:left w:w="57" w:type="dxa"/>
              <w:right w:w="57" w:type="dxa"/>
            </w:tcMar>
            <w:vAlign w:val="center"/>
          </w:tcPr>
          <w:p>
            <w:pPr>
              <w:snapToGrid w:val="0"/>
              <w:spacing w:line="360" w:lineRule="auto"/>
              <w:rPr>
                <w:rFonts w:asciiTheme="minorEastAsia" w:hAnsiTheme="minorEastAsia"/>
              </w:rPr>
            </w:pPr>
            <w:r>
              <w:rPr>
                <w:rFonts w:hint="eastAsia" w:asciiTheme="minorEastAsia" w:hAnsiTheme="minorEastAsia"/>
                <w:color w:val="000000"/>
              </w:rPr>
              <w:t>科研队列构建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64" w:type="dxa"/>
            <w:tcMar>
              <w:left w:w="57" w:type="dxa"/>
              <w:right w:w="57" w:type="dxa"/>
            </w:tcMar>
          </w:tcPr>
          <w:p>
            <w:pPr>
              <w:snapToGrid w:val="0"/>
              <w:spacing w:line="360" w:lineRule="auto"/>
              <w:jc w:val="center"/>
              <w:rPr>
                <w:rFonts w:asciiTheme="minorEastAsia" w:hAnsiTheme="minorEastAsia"/>
              </w:rPr>
            </w:pPr>
            <w:r>
              <w:rPr>
                <w:rFonts w:asciiTheme="minorEastAsia" w:hAnsiTheme="minorEastAsia"/>
              </w:rPr>
              <w:t>3</w:t>
            </w:r>
          </w:p>
        </w:tc>
        <w:tc>
          <w:tcPr>
            <w:tcW w:w="4166" w:type="dxa"/>
            <w:tcMar>
              <w:left w:w="57" w:type="dxa"/>
              <w:right w:w="57" w:type="dxa"/>
            </w:tcMar>
            <w:vAlign w:val="center"/>
          </w:tcPr>
          <w:p>
            <w:pPr>
              <w:snapToGrid w:val="0"/>
              <w:spacing w:line="360" w:lineRule="auto"/>
              <w:rPr>
                <w:rFonts w:asciiTheme="minorEastAsia" w:hAnsiTheme="minorEastAsia"/>
              </w:rPr>
            </w:pPr>
            <w:r>
              <w:rPr>
                <w:rFonts w:hint="eastAsia" w:asciiTheme="minorEastAsia" w:hAnsiTheme="minorEastAsia"/>
                <w:color w:val="000000"/>
              </w:rPr>
              <w:t>科研项目管理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64" w:type="dxa"/>
            <w:tcMar>
              <w:left w:w="57" w:type="dxa"/>
              <w:right w:w="57" w:type="dxa"/>
            </w:tcMar>
          </w:tcPr>
          <w:p>
            <w:pPr>
              <w:snapToGrid w:val="0"/>
              <w:spacing w:line="360" w:lineRule="auto"/>
              <w:jc w:val="center"/>
              <w:rPr>
                <w:rFonts w:asciiTheme="minorEastAsia" w:hAnsiTheme="minorEastAsia"/>
                <w:color w:val="000000"/>
              </w:rPr>
            </w:pPr>
            <w:r>
              <w:rPr>
                <w:rFonts w:asciiTheme="minorEastAsia" w:hAnsiTheme="minorEastAsia"/>
                <w:color w:val="000000"/>
              </w:rPr>
              <w:t>4</w:t>
            </w:r>
          </w:p>
        </w:tc>
        <w:tc>
          <w:tcPr>
            <w:tcW w:w="4166" w:type="dxa"/>
            <w:tcMar>
              <w:left w:w="57" w:type="dxa"/>
              <w:right w:w="57" w:type="dxa"/>
            </w:tcMar>
            <w:vAlign w:val="center"/>
          </w:tcPr>
          <w:p>
            <w:pPr>
              <w:snapToGrid w:val="0"/>
              <w:spacing w:line="360" w:lineRule="auto"/>
              <w:rPr>
                <w:rFonts w:asciiTheme="minorEastAsia" w:hAnsiTheme="minorEastAsia"/>
                <w:color w:val="000000"/>
              </w:rPr>
            </w:pPr>
            <w:r>
              <w:rPr>
                <w:rFonts w:hint="eastAsia" w:asciiTheme="minorEastAsia" w:hAnsiTheme="minorEastAsia"/>
                <w:color w:val="000000"/>
              </w:rPr>
              <w:t>医学专病库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64" w:type="dxa"/>
            <w:tcMar>
              <w:left w:w="57" w:type="dxa"/>
              <w:right w:w="57" w:type="dxa"/>
            </w:tcMar>
          </w:tcPr>
          <w:p>
            <w:pPr>
              <w:snapToGrid w:val="0"/>
              <w:spacing w:line="360" w:lineRule="auto"/>
              <w:jc w:val="center"/>
              <w:rPr>
                <w:rFonts w:asciiTheme="minorEastAsia" w:hAnsiTheme="minorEastAsia"/>
                <w:color w:val="000000"/>
              </w:rPr>
            </w:pPr>
            <w:r>
              <w:rPr>
                <w:rFonts w:hint="eastAsia" w:asciiTheme="minorEastAsia" w:hAnsiTheme="minorEastAsia"/>
                <w:color w:val="000000"/>
              </w:rPr>
              <w:t>5</w:t>
            </w:r>
          </w:p>
        </w:tc>
        <w:tc>
          <w:tcPr>
            <w:tcW w:w="4166" w:type="dxa"/>
            <w:tcMar>
              <w:left w:w="57" w:type="dxa"/>
              <w:right w:w="57" w:type="dxa"/>
            </w:tcMar>
            <w:vAlign w:val="center"/>
          </w:tcPr>
          <w:p>
            <w:pPr>
              <w:snapToGrid w:val="0"/>
              <w:spacing w:line="360" w:lineRule="auto"/>
              <w:rPr>
                <w:rFonts w:asciiTheme="minorEastAsia" w:hAnsiTheme="minorEastAsia"/>
                <w:color w:val="000000"/>
              </w:rPr>
            </w:pPr>
            <w:r>
              <w:rPr>
                <w:rFonts w:hint="eastAsia" w:asciiTheme="minorEastAsia" w:hAnsiTheme="minorEastAsia"/>
                <w:color w:val="000000"/>
              </w:rPr>
              <w:t>数据资源管理和医疗数据交换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64" w:type="dxa"/>
            <w:tcMar>
              <w:left w:w="57" w:type="dxa"/>
              <w:right w:w="57" w:type="dxa"/>
            </w:tcMar>
          </w:tcPr>
          <w:p>
            <w:pPr>
              <w:snapToGrid w:val="0"/>
              <w:spacing w:line="360" w:lineRule="auto"/>
              <w:jc w:val="center"/>
              <w:rPr>
                <w:rFonts w:asciiTheme="minorEastAsia" w:hAnsiTheme="minorEastAsia"/>
                <w:color w:val="000000"/>
              </w:rPr>
            </w:pPr>
            <w:r>
              <w:rPr>
                <w:rFonts w:hint="eastAsia" w:asciiTheme="minorEastAsia" w:hAnsiTheme="minorEastAsia"/>
                <w:color w:val="000000"/>
              </w:rPr>
              <w:t>6</w:t>
            </w:r>
          </w:p>
        </w:tc>
        <w:tc>
          <w:tcPr>
            <w:tcW w:w="4166" w:type="dxa"/>
            <w:tcMar>
              <w:left w:w="57" w:type="dxa"/>
              <w:right w:w="57" w:type="dxa"/>
            </w:tcMar>
            <w:vAlign w:val="center"/>
          </w:tcPr>
          <w:p>
            <w:pPr>
              <w:snapToGrid w:val="0"/>
              <w:spacing w:line="360" w:lineRule="auto"/>
              <w:rPr>
                <w:rFonts w:asciiTheme="minorEastAsia" w:hAnsiTheme="minorEastAsia"/>
              </w:rPr>
            </w:pPr>
            <w:r>
              <w:rPr>
                <w:rFonts w:hint="eastAsia" w:asciiTheme="minorEastAsia" w:hAnsiTheme="minorEastAsia"/>
                <w:color w:val="000000"/>
              </w:rPr>
              <w:t>医疗公开MIMIC III数据库整合</w:t>
            </w:r>
          </w:p>
        </w:tc>
      </w:tr>
    </w:tbl>
    <w:p>
      <w:pPr>
        <w:pStyle w:val="4"/>
        <w:spacing w:before="15" w:line="360" w:lineRule="auto"/>
        <w:ind w:left="598" w:hanging="480"/>
        <w:rPr>
          <w:rFonts w:asciiTheme="minorEastAsia" w:hAnsiTheme="minorEastAsia" w:eastAsiaTheme="minorEastAsia"/>
        </w:rPr>
      </w:pPr>
      <w:r>
        <w:rPr>
          <w:rFonts w:hint="eastAsia" w:asciiTheme="minorEastAsia" w:hAnsiTheme="minorEastAsia" w:eastAsiaTheme="minorEastAsia"/>
        </w:rPr>
        <w:t>1.1.5 重症医学临床业务应用及多中心质量监测平台</w:t>
      </w:r>
    </w:p>
    <w:p>
      <w:pPr>
        <w:widowControl/>
        <w:spacing w:line="360" w:lineRule="auto"/>
        <w:rPr>
          <w:rFonts w:ascii="宋体" w:hAnsi="宋体" w:cs="宋体"/>
          <w:color w:val="000000"/>
          <w:sz w:val="20"/>
        </w:rPr>
      </w:pPr>
      <w:r>
        <w:rPr>
          <w:rFonts w:hint="eastAsia" w:ascii="宋体" w:hAnsi="宋体" w:cs="Calibri Light"/>
          <w:sz w:val="24"/>
          <w:lang w:val="zh-CN" w:bidi="en-US"/>
        </w:rPr>
        <w:t>1、重症疾病预测模型</w:t>
      </w:r>
    </w:p>
    <w:p>
      <w:pPr>
        <w:pStyle w:val="27"/>
        <w:snapToGrid w:val="0"/>
        <w:spacing w:after="0"/>
        <w:ind w:right="-50" w:rightChars="-24"/>
        <w:rPr>
          <w:rFonts w:asciiTheme="minorEastAsia" w:hAnsiTheme="minorEastAsia" w:eastAsiaTheme="minorEastAsia"/>
          <w:lang w:eastAsia="zh-CN"/>
        </w:rPr>
      </w:pPr>
      <w:r>
        <w:rPr>
          <w:rFonts w:hint="eastAsia" w:asciiTheme="minorEastAsia" w:hAnsiTheme="minorEastAsia" w:eastAsiaTheme="minorEastAsia"/>
          <w:lang w:eastAsia="zh-CN"/>
        </w:rPr>
        <w:t>基于重症医学数据库，构建重症医学临床预测模型，用于临床决策支持。本项目要求开发1-2个医院临床危急干预措施的预测模型。</w:t>
      </w:r>
    </w:p>
    <w:p>
      <w:pPr>
        <w:widowControl/>
        <w:spacing w:line="360" w:lineRule="auto"/>
        <w:rPr>
          <w:rFonts w:ascii="宋体" w:hAnsi="宋体" w:cs="宋体"/>
          <w:b/>
          <w:bCs/>
          <w:color w:val="000000"/>
          <w:sz w:val="20"/>
        </w:rPr>
      </w:pPr>
      <w:r>
        <w:rPr>
          <w:rFonts w:hint="eastAsia" w:ascii="宋体" w:hAnsi="宋体" w:cs="Calibri Light"/>
          <w:sz w:val="24"/>
          <w:lang w:val="zh-CN" w:bidi="en-US"/>
        </w:rPr>
        <w:t>2、重症医疗质量监测与评价系统</w:t>
      </w:r>
    </w:p>
    <w:p>
      <w:pPr>
        <w:pStyle w:val="27"/>
        <w:snapToGrid w:val="0"/>
        <w:spacing w:after="0"/>
        <w:ind w:right="-50" w:rightChars="-24"/>
        <w:rPr>
          <w:rFonts w:asciiTheme="minorEastAsia" w:hAnsiTheme="minorEastAsia" w:eastAsiaTheme="minorEastAsia"/>
          <w:lang w:eastAsia="zh-CN"/>
        </w:rPr>
      </w:pPr>
      <w:r>
        <w:rPr>
          <w:rFonts w:hint="eastAsia" w:asciiTheme="minorEastAsia" w:hAnsiTheme="minorEastAsia" w:eastAsiaTheme="minorEastAsia"/>
          <w:lang w:eastAsia="zh-CN"/>
        </w:rPr>
        <w:t>围绕医疗质量指标体系，建立基于医院数据的质量动态监测与评价系统，为质量持续改进提供支持。本系统实现基于全院历年的、全面的临床数据进行评价；基于科研大数据平台数据的自定义指标计算、统计、展示；支持按年、月、日时间维度的统计、对比；支持数据导出及数据上报。</w:t>
      </w:r>
    </w:p>
    <w:p>
      <w:pPr>
        <w:snapToGrid w:val="0"/>
        <w:spacing w:line="360" w:lineRule="auto"/>
        <w:rPr>
          <w:rFonts w:ascii="宋体" w:hAnsi="宋体" w:cs="Calibri Light"/>
          <w:sz w:val="24"/>
          <w:lang w:val="zh-CN" w:bidi="en-US"/>
        </w:rPr>
      </w:pPr>
      <w:r>
        <w:rPr>
          <w:rFonts w:hint="eastAsia" w:ascii="宋体" w:hAnsi="宋体" w:cs="Calibri Light"/>
          <w:sz w:val="24"/>
          <w:lang w:val="zh-CN" w:bidi="en-US"/>
        </w:rPr>
        <w:t>3、重症多中心医学质量监测数据平台</w:t>
      </w:r>
    </w:p>
    <w:p>
      <w:pPr>
        <w:pStyle w:val="27"/>
        <w:snapToGrid w:val="0"/>
        <w:spacing w:after="0"/>
        <w:ind w:right="-50" w:rightChars="-24"/>
        <w:rPr>
          <w:rFonts w:asciiTheme="minorEastAsia" w:hAnsiTheme="minorEastAsia" w:eastAsiaTheme="minorEastAsia"/>
          <w:lang w:eastAsia="zh-CN"/>
        </w:rPr>
      </w:pPr>
      <w:r>
        <w:rPr>
          <w:rFonts w:hint="eastAsia" w:asciiTheme="minorEastAsia" w:hAnsiTheme="minorEastAsia" w:eastAsiaTheme="minorEastAsia"/>
          <w:lang w:eastAsia="zh-CN"/>
        </w:rPr>
        <w:t>通过建设多中心重症医疗质量监测数据平台，采集联盟医院和分中心重症医学质量监测相关数据，同步整合数据，形成指标上报</w:t>
      </w:r>
    </w:p>
    <w:p>
      <w:pPr>
        <w:pStyle w:val="4"/>
        <w:spacing w:before="15" w:line="360" w:lineRule="auto"/>
        <w:ind w:left="598" w:hanging="480"/>
        <w:rPr>
          <w:rFonts w:asciiTheme="minorEastAsia" w:hAnsiTheme="minorEastAsia" w:eastAsiaTheme="minorEastAsia"/>
        </w:rPr>
      </w:pPr>
      <w:r>
        <w:rPr>
          <w:rFonts w:hint="eastAsia" w:asciiTheme="minorEastAsia" w:hAnsiTheme="minorEastAsia" w:eastAsiaTheme="minorEastAsia"/>
        </w:rPr>
        <w:t>1.1.6 医院数据治理平台</w:t>
      </w:r>
    </w:p>
    <w:p>
      <w:pPr>
        <w:snapToGrid w:val="0"/>
        <w:spacing w:line="360" w:lineRule="auto"/>
        <w:ind w:firstLine="240" w:firstLineChars="100"/>
        <w:rPr>
          <w:rFonts w:asciiTheme="minorEastAsia" w:hAnsiTheme="minorEastAsia"/>
        </w:rPr>
      </w:pPr>
      <w:r>
        <w:rPr>
          <w:rFonts w:hint="eastAsia" w:ascii="宋体" w:hAnsi="宋体" w:cs="Calibri Light"/>
          <w:sz w:val="24"/>
          <w:lang w:val="zh-CN" w:bidi="en-US"/>
        </w:rPr>
        <w:t>1、大数据计算平台</w:t>
      </w:r>
    </w:p>
    <w:p>
      <w:pPr>
        <w:pStyle w:val="27"/>
        <w:snapToGrid w:val="0"/>
        <w:spacing w:after="0"/>
        <w:ind w:right="-50" w:rightChars="-24"/>
        <w:rPr>
          <w:rFonts w:asciiTheme="minorEastAsia" w:hAnsiTheme="minorEastAsia" w:eastAsiaTheme="minorEastAsia"/>
          <w:lang w:eastAsia="zh-CN"/>
        </w:rPr>
      </w:pPr>
      <w:r>
        <w:rPr>
          <w:rFonts w:hint="eastAsia" w:asciiTheme="minorEastAsia" w:hAnsiTheme="minorEastAsia" w:eastAsiaTheme="minorEastAsia"/>
          <w:lang w:eastAsia="zh-CN"/>
        </w:rPr>
        <w:t>满足全院级历史临床数据（影像、图片除外）的集中存储和管理，以及未来5年的新增数据的集中存储和计算要求。医院的信息量体量比较大，现在和未来需要支持几十T到百T量级，因此需要高效处理大量数据的计算平台。</w:t>
      </w:r>
      <w:r>
        <w:rPr>
          <w:rFonts w:hint="eastAsia" w:asciiTheme="minorEastAsia" w:hAnsiTheme="minorEastAsia" w:eastAsiaTheme="minorEastAsia"/>
          <w:lang w:eastAsia="zh-CN"/>
        </w:rPr>
        <w:br w:type="textWrapping"/>
      </w:r>
      <w:r>
        <w:rPr>
          <w:rFonts w:hint="eastAsia" w:asciiTheme="minorEastAsia" w:hAnsiTheme="minorEastAsia" w:eastAsiaTheme="minorEastAsia"/>
          <w:lang w:eastAsia="zh-CN"/>
        </w:rPr>
        <w:t>大数据计算平台的目标是提供一个数据整合、标准化、结构化的支撑计算平台。</w:t>
      </w:r>
      <w:r>
        <w:rPr>
          <w:rFonts w:hint="eastAsia" w:asciiTheme="minorEastAsia" w:hAnsiTheme="minorEastAsia" w:eastAsiaTheme="minorEastAsia"/>
          <w:lang w:eastAsia="zh-CN"/>
        </w:rPr>
        <w:br w:type="textWrapping"/>
      </w:r>
      <w:r>
        <w:rPr>
          <w:rFonts w:hint="eastAsia" w:asciiTheme="minorEastAsia" w:hAnsiTheme="minorEastAsia" w:eastAsiaTheme="minorEastAsia"/>
          <w:lang w:eastAsia="zh-CN"/>
        </w:rPr>
        <w:t>除了数据量庞大以外，医疗大数据通常存在多种数据源：</w:t>
      </w:r>
      <w:r>
        <w:rPr>
          <w:rFonts w:hint="eastAsia" w:asciiTheme="minorEastAsia" w:hAnsiTheme="minorEastAsia" w:eastAsiaTheme="minorEastAsia"/>
          <w:lang w:eastAsia="zh-CN"/>
        </w:rPr>
        <w:br w:type="textWrapping"/>
      </w:r>
      <w:r>
        <w:rPr>
          <w:rFonts w:hint="eastAsia" w:asciiTheme="minorEastAsia" w:hAnsiTheme="minorEastAsia" w:eastAsiaTheme="minorEastAsia"/>
          <w:lang w:eastAsia="zh-CN"/>
        </w:rPr>
        <w:t>1） 结构化数据：来自传统医疗信息系统，以关系数据库为主</w:t>
      </w:r>
      <w:r>
        <w:rPr>
          <w:rFonts w:hint="eastAsia" w:asciiTheme="minorEastAsia" w:hAnsiTheme="minorEastAsia" w:eastAsiaTheme="minorEastAsia"/>
          <w:lang w:eastAsia="zh-CN"/>
        </w:rPr>
        <w:br w:type="textWrapping"/>
      </w:r>
      <w:r>
        <w:rPr>
          <w:rFonts w:hint="eastAsia" w:asciiTheme="minorEastAsia" w:hAnsiTheme="minorEastAsia" w:eastAsiaTheme="minorEastAsia"/>
          <w:lang w:eastAsia="zh-CN"/>
        </w:rPr>
        <w:t>2） 非结构化数据：比如病历中的长文本等</w:t>
      </w:r>
      <w:r>
        <w:rPr>
          <w:rFonts w:hint="eastAsia" w:asciiTheme="minorEastAsia" w:hAnsiTheme="minorEastAsia" w:eastAsiaTheme="minorEastAsia"/>
          <w:lang w:eastAsia="zh-CN"/>
        </w:rPr>
        <w:br w:type="textWrapping"/>
      </w:r>
      <w:r>
        <w:rPr>
          <w:rFonts w:hint="eastAsia" w:asciiTheme="minorEastAsia" w:hAnsiTheme="minorEastAsia" w:eastAsiaTheme="minorEastAsia"/>
          <w:lang w:eastAsia="zh-CN"/>
        </w:rPr>
        <w:t>3） 流式数据：比如ICU报警、患者的体征变化等。</w:t>
      </w:r>
    </w:p>
    <w:p>
      <w:pPr>
        <w:snapToGrid w:val="0"/>
        <w:spacing w:line="360" w:lineRule="auto"/>
        <w:ind w:firstLine="240" w:firstLineChars="100"/>
        <w:rPr>
          <w:rFonts w:ascii="宋体" w:hAnsi="宋体"/>
          <w:color w:val="000000"/>
          <w:szCs w:val="21"/>
        </w:rPr>
      </w:pPr>
      <w:r>
        <w:rPr>
          <w:rFonts w:hint="eastAsia" w:ascii="宋体" w:hAnsi="宋体" w:cs="Calibri Light"/>
          <w:sz w:val="24"/>
          <w:lang w:val="zh-CN" w:bidi="en-US"/>
        </w:rPr>
        <w:t>2、数据采集、集成和管理</w:t>
      </w:r>
    </w:p>
    <w:p>
      <w:pPr>
        <w:pStyle w:val="4"/>
        <w:spacing w:before="58" w:line="360" w:lineRule="auto"/>
        <w:ind w:right="88" w:firstLine="480"/>
        <w:rPr>
          <w:rFonts w:asciiTheme="minorEastAsia" w:hAnsiTheme="minorEastAsia" w:eastAsiaTheme="minorEastAsia"/>
        </w:rPr>
      </w:pPr>
      <w:r>
        <w:rPr>
          <w:rFonts w:hint="eastAsia" w:asciiTheme="minorEastAsia" w:hAnsiTheme="minorEastAsia" w:eastAsiaTheme="minorEastAsia"/>
        </w:rPr>
        <w:t>利用数据归集引擎，批量采集业务系统中的历史数据，实现历史数据标准化存储。目前医院建成了以HIS、LIS、CIS、PACS等为主的信息系统，以分布式的方式独立收集数据。同时这些系统来自不同的厂商，系统间难以打通。医院的信息收集普遍缺乏一个通用的主索引，能连通同一个病人的多次记录。因此，形成一个现象：数据量很大，却由一个个孤岛组成。本次建设需要解决数据孤岛问题，将海量的不同来源、不同类型的原始信息映射到统一的标准规范上，形成开放共享、标准统一的大数据平台，支撑医院的临床研究。</w:t>
      </w:r>
    </w:p>
    <w:p>
      <w:pPr>
        <w:snapToGrid w:val="0"/>
        <w:spacing w:line="360" w:lineRule="auto"/>
        <w:ind w:firstLine="240" w:firstLineChars="100"/>
        <w:rPr>
          <w:rFonts w:ascii="宋体" w:hAnsi="宋体" w:cs="Calibri Light"/>
          <w:sz w:val="24"/>
          <w:lang w:val="zh-CN" w:bidi="en-US"/>
        </w:rPr>
      </w:pPr>
      <w:r>
        <w:rPr>
          <w:rFonts w:hint="eastAsia" w:ascii="宋体" w:hAnsi="宋体" w:cs="Calibri Light"/>
          <w:sz w:val="24"/>
          <w:lang w:val="zh-CN" w:bidi="en-US"/>
        </w:rPr>
        <w:t>3、数据治理平台</w:t>
      </w:r>
    </w:p>
    <w:p>
      <w:pPr>
        <w:pStyle w:val="4"/>
        <w:spacing w:before="58" w:line="360" w:lineRule="auto"/>
        <w:ind w:right="88" w:firstLine="480"/>
        <w:rPr>
          <w:rFonts w:asciiTheme="minorEastAsia" w:hAnsiTheme="minorEastAsia" w:eastAsiaTheme="minorEastAsia"/>
        </w:rPr>
      </w:pPr>
      <w:r>
        <w:rPr>
          <w:rFonts w:hint="eastAsia" w:asciiTheme="minorEastAsia" w:hAnsiTheme="minorEastAsia" w:eastAsiaTheme="minorEastAsia"/>
        </w:rPr>
        <w:t>通过数据质量检测工具，按照预先定义好的规则，自动识别数据中不完整或错误数据。对数据的定义、质量、安全等方面进行规划、管理、监控，不断提升数据的质量和应用能力，保障数据安全。</w:t>
      </w:r>
      <w:r>
        <w:rPr>
          <w:rFonts w:hint="eastAsia" w:asciiTheme="minorEastAsia" w:hAnsiTheme="minorEastAsia" w:eastAsiaTheme="minorEastAsia"/>
        </w:rPr>
        <w:br w:type="textWrapping"/>
      </w:r>
      <w:r>
        <w:rPr>
          <w:rFonts w:asciiTheme="minorEastAsia" w:hAnsiTheme="minorEastAsia" w:eastAsiaTheme="minorEastAsia"/>
        </w:rPr>
        <w:t xml:space="preserve">    </w:t>
      </w:r>
      <w:r>
        <w:rPr>
          <w:rFonts w:hint="eastAsia" w:asciiTheme="minorEastAsia" w:hAnsiTheme="minorEastAsia" w:eastAsiaTheme="minorEastAsia"/>
        </w:rPr>
        <w:t>大数据治理技术应用在数据采集、清洗、转换、关联、数据质控等过程，通过人机结合的方式实现高效精准的数据治理，通过大规模自动化的采集、清洗、归类、关联数据，提升数据分析利用的准确性和实用性，形成统一数据视图为后续系统提供服务。通过质量检测工具，针对不同的数据质量问题，使用针对性的治理方案。针对医疗信息数据，对有问题数据进行治理。</w:t>
      </w:r>
    </w:p>
    <w:p>
      <w:pPr>
        <w:snapToGrid w:val="0"/>
        <w:spacing w:line="360" w:lineRule="auto"/>
        <w:ind w:firstLine="240" w:firstLineChars="100"/>
        <w:rPr>
          <w:rFonts w:asciiTheme="minorEastAsia" w:hAnsiTheme="minorEastAsia"/>
        </w:rPr>
      </w:pPr>
      <w:r>
        <w:rPr>
          <w:rFonts w:hint="eastAsia" w:ascii="宋体" w:hAnsi="宋体" w:cs="Calibri Light"/>
          <w:sz w:val="24"/>
          <w:lang w:val="zh-CN" w:bidi="en-US"/>
        </w:rPr>
        <w:t>4、智能搜索和智能化查询</w:t>
      </w:r>
    </w:p>
    <w:p>
      <w:pPr>
        <w:pStyle w:val="4"/>
        <w:spacing w:before="58" w:line="360" w:lineRule="auto"/>
        <w:ind w:right="88" w:firstLine="480"/>
        <w:rPr>
          <w:rFonts w:asciiTheme="minorEastAsia" w:hAnsiTheme="minorEastAsia" w:eastAsiaTheme="minorEastAsia"/>
        </w:rPr>
      </w:pPr>
      <w:r>
        <w:rPr>
          <w:rFonts w:hint="eastAsia" w:asciiTheme="minorEastAsia" w:hAnsiTheme="minorEastAsia" w:eastAsiaTheme="minorEastAsia"/>
        </w:rPr>
        <w:t>对于医院内庞大的医学信息资源，通过一种正确的检索策略来满足用户对于精准数据的查找需求。数据智能搜索和智能可视化可实现对所有临床资料的搜索，并将结果进行丰富和自定义的图形呈现。</w:t>
      </w:r>
    </w:p>
    <w:p>
      <w:pPr>
        <w:pStyle w:val="4"/>
        <w:spacing w:before="14" w:line="360" w:lineRule="auto"/>
        <w:rPr>
          <w:rFonts w:asciiTheme="minorEastAsia" w:hAnsiTheme="minorEastAsia" w:eastAsiaTheme="minorEastAsia"/>
        </w:rPr>
      </w:pPr>
      <w:r>
        <w:rPr>
          <w:rFonts w:cs="Arial" w:asciiTheme="minorEastAsia" w:hAnsiTheme="minorEastAsia" w:eastAsiaTheme="minorEastAsia"/>
          <w:spacing w:val="1"/>
        </w:rPr>
        <w:t>2</w:t>
      </w:r>
      <w:r>
        <w:rPr>
          <w:rFonts w:cs="Arial" w:asciiTheme="minorEastAsia" w:hAnsiTheme="minorEastAsia" w:eastAsiaTheme="minorEastAsia"/>
        </w:rPr>
        <w:t>.</w:t>
      </w:r>
      <w:r>
        <w:rPr>
          <w:rFonts w:asciiTheme="minorEastAsia" w:hAnsiTheme="minorEastAsia" w:eastAsiaTheme="minorEastAsia"/>
          <w:spacing w:val="2"/>
        </w:rPr>
        <w:t>监</w:t>
      </w:r>
      <w:r>
        <w:rPr>
          <w:rFonts w:asciiTheme="minorEastAsia" w:hAnsiTheme="minorEastAsia" w:eastAsiaTheme="minorEastAsia"/>
        </w:rPr>
        <w:t>理服</w:t>
      </w:r>
      <w:r>
        <w:rPr>
          <w:rFonts w:asciiTheme="minorEastAsia" w:hAnsiTheme="minorEastAsia" w:eastAsiaTheme="minorEastAsia"/>
          <w:spacing w:val="2"/>
        </w:rPr>
        <w:t>务</w:t>
      </w:r>
      <w:r>
        <w:rPr>
          <w:rFonts w:asciiTheme="minorEastAsia" w:hAnsiTheme="minorEastAsia" w:eastAsiaTheme="minorEastAsia"/>
        </w:rPr>
        <w:t>要求</w:t>
      </w:r>
    </w:p>
    <w:p>
      <w:pPr>
        <w:pStyle w:val="4"/>
        <w:spacing w:before="56" w:line="360" w:lineRule="auto"/>
        <w:outlineLvl w:val="0"/>
        <w:rPr>
          <w:rFonts w:asciiTheme="minorEastAsia" w:hAnsiTheme="minorEastAsia" w:eastAsiaTheme="minorEastAsia"/>
        </w:rPr>
      </w:pPr>
      <w:r>
        <w:rPr>
          <w:rFonts w:cs="Arial" w:asciiTheme="minorEastAsia" w:hAnsiTheme="minorEastAsia" w:eastAsiaTheme="minorEastAsia"/>
          <w:spacing w:val="2"/>
          <w:w w:val="105"/>
        </w:rPr>
        <w:t>2</w:t>
      </w:r>
      <w:r>
        <w:rPr>
          <w:rFonts w:cs="Arial" w:asciiTheme="minorEastAsia" w:hAnsiTheme="minorEastAsia" w:eastAsiaTheme="minorEastAsia"/>
          <w:w w:val="105"/>
        </w:rPr>
        <w:t>.1</w:t>
      </w:r>
      <w:r>
        <w:rPr>
          <w:rFonts w:cs="Arial" w:asciiTheme="minorEastAsia" w:hAnsiTheme="minorEastAsia" w:eastAsiaTheme="minorEastAsia"/>
          <w:spacing w:val="35"/>
          <w:w w:val="105"/>
        </w:rPr>
        <w:t xml:space="preserve"> </w:t>
      </w:r>
      <w:r>
        <w:rPr>
          <w:rFonts w:asciiTheme="minorEastAsia" w:hAnsiTheme="minorEastAsia" w:eastAsiaTheme="minorEastAsia"/>
          <w:w w:val="105"/>
        </w:rPr>
        <w:t>概述</w:t>
      </w:r>
    </w:p>
    <w:p>
      <w:pPr>
        <w:pStyle w:val="4"/>
        <w:spacing w:before="58" w:line="360" w:lineRule="auto"/>
        <w:ind w:right="88" w:firstLine="480"/>
        <w:rPr>
          <w:rFonts w:asciiTheme="minorEastAsia" w:hAnsiTheme="minorEastAsia" w:eastAsiaTheme="minorEastAsia"/>
        </w:rPr>
      </w:pPr>
      <w:r>
        <w:rPr>
          <w:rFonts w:asciiTheme="minorEastAsia" w:hAnsiTheme="minorEastAsia" w:eastAsiaTheme="minorEastAsia"/>
        </w:rPr>
        <w:t>投标人应根据批准后的初步设计</w:t>
      </w:r>
      <w:r>
        <w:rPr>
          <w:rFonts w:asciiTheme="minorEastAsia" w:hAnsiTheme="minorEastAsia" w:eastAsiaTheme="minorEastAsia"/>
          <w:spacing w:val="-17"/>
        </w:rPr>
        <w:t>，</w:t>
      </w:r>
      <w:r>
        <w:rPr>
          <w:rFonts w:asciiTheme="minorEastAsia" w:hAnsiTheme="minorEastAsia" w:eastAsiaTheme="minorEastAsia"/>
        </w:rPr>
        <w:t>协助采购人建立自项目启动</w:t>
      </w:r>
      <w:r>
        <w:rPr>
          <w:rFonts w:asciiTheme="minorEastAsia" w:hAnsiTheme="minorEastAsia" w:eastAsiaTheme="minorEastAsia"/>
          <w:spacing w:val="-17"/>
        </w:rPr>
        <w:t>、</w:t>
      </w:r>
      <w:r>
        <w:rPr>
          <w:rFonts w:asciiTheme="minorEastAsia" w:hAnsiTheme="minorEastAsia" w:eastAsiaTheme="minorEastAsia"/>
        </w:rPr>
        <w:t>项目执行</w:t>
      </w:r>
      <w:r>
        <w:rPr>
          <w:rFonts w:asciiTheme="minorEastAsia" w:hAnsiTheme="minorEastAsia" w:eastAsiaTheme="minorEastAsia"/>
          <w:spacing w:val="-17"/>
        </w:rPr>
        <w:t>、</w:t>
      </w:r>
      <w:r>
        <w:rPr>
          <w:rFonts w:asciiTheme="minorEastAsia" w:hAnsiTheme="minorEastAsia" w:eastAsiaTheme="minorEastAsia"/>
        </w:rPr>
        <w:t>项目验 收等全过程的项目管理体系</w:t>
      </w:r>
      <w:r>
        <w:rPr>
          <w:rFonts w:asciiTheme="minorEastAsia" w:hAnsiTheme="minorEastAsia" w:eastAsiaTheme="minorEastAsia"/>
          <w:spacing w:val="-84"/>
        </w:rPr>
        <w:t>，</w:t>
      </w:r>
      <w:r>
        <w:rPr>
          <w:rFonts w:asciiTheme="minorEastAsia" w:hAnsiTheme="minorEastAsia" w:eastAsiaTheme="minorEastAsia"/>
        </w:rPr>
        <w:t>分析项目的建设任务和特点</w:t>
      </w:r>
      <w:r>
        <w:rPr>
          <w:rFonts w:asciiTheme="minorEastAsia" w:hAnsiTheme="minorEastAsia" w:eastAsiaTheme="minorEastAsia"/>
          <w:spacing w:val="-84"/>
        </w:rPr>
        <w:t>，</w:t>
      </w:r>
      <w:r>
        <w:rPr>
          <w:rFonts w:asciiTheme="minorEastAsia" w:hAnsiTheme="minorEastAsia" w:eastAsiaTheme="minorEastAsia"/>
        </w:rPr>
        <w:t>提供包括但不限于质量控制、 进度控制</w:t>
      </w:r>
      <w:r>
        <w:rPr>
          <w:rFonts w:asciiTheme="minorEastAsia" w:hAnsiTheme="minorEastAsia" w:eastAsiaTheme="minorEastAsia"/>
          <w:spacing w:val="-8"/>
        </w:rPr>
        <w:t>、</w:t>
      </w:r>
      <w:r>
        <w:rPr>
          <w:rFonts w:asciiTheme="minorEastAsia" w:hAnsiTheme="minorEastAsia" w:eastAsiaTheme="minorEastAsia"/>
        </w:rPr>
        <w:t>投资控制</w:t>
      </w:r>
      <w:r>
        <w:rPr>
          <w:rFonts w:asciiTheme="minorEastAsia" w:hAnsiTheme="minorEastAsia" w:eastAsiaTheme="minorEastAsia"/>
          <w:spacing w:val="-10"/>
        </w:rPr>
        <w:t>、</w:t>
      </w:r>
      <w:r>
        <w:rPr>
          <w:rFonts w:asciiTheme="minorEastAsia" w:hAnsiTheme="minorEastAsia" w:eastAsiaTheme="minorEastAsia"/>
        </w:rPr>
        <w:t>合同管理</w:t>
      </w:r>
      <w:r>
        <w:rPr>
          <w:rFonts w:asciiTheme="minorEastAsia" w:hAnsiTheme="minorEastAsia" w:eastAsiaTheme="minorEastAsia"/>
          <w:spacing w:val="-7"/>
        </w:rPr>
        <w:t>、</w:t>
      </w:r>
      <w:r>
        <w:rPr>
          <w:rFonts w:asciiTheme="minorEastAsia" w:hAnsiTheme="minorEastAsia" w:eastAsiaTheme="minorEastAsia"/>
        </w:rPr>
        <w:t>安全控制与管理</w:t>
      </w:r>
      <w:r>
        <w:rPr>
          <w:rFonts w:asciiTheme="minorEastAsia" w:hAnsiTheme="minorEastAsia" w:eastAsiaTheme="minorEastAsia"/>
          <w:spacing w:val="-7"/>
        </w:rPr>
        <w:t>、</w:t>
      </w:r>
      <w:r>
        <w:rPr>
          <w:rFonts w:asciiTheme="minorEastAsia" w:hAnsiTheme="minorEastAsia" w:eastAsiaTheme="minorEastAsia"/>
        </w:rPr>
        <w:t>文档管理</w:t>
      </w:r>
      <w:r>
        <w:rPr>
          <w:rFonts w:asciiTheme="minorEastAsia" w:hAnsiTheme="minorEastAsia" w:eastAsiaTheme="minorEastAsia"/>
          <w:spacing w:val="-8"/>
        </w:rPr>
        <w:t>、</w:t>
      </w:r>
      <w:r>
        <w:rPr>
          <w:rFonts w:asciiTheme="minorEastAsia" w:hAnsiTheme="minorEastAsia" w:eastAsiaTheme="minorEastAsia"/>
        </w:rPr>
        <w:t>组</w:t>
      </w:r>
      <w:r>
        <w:rPr>
          <w:rFonts w:asciiTheme="minorEastAsia" w:hAnsiTheme="minorEastAsia" w:eastAsiaTheme="minorEastAsia"/>
          <w:spacing w:val="-3"/>
        </w:rPr>
        <w:t>织</w:t>
      </w:r>
      <w:r>
        <w:rPr>
          <w:rFonts w:asciiTheme="minorEastAsia" w:hAnsiTheme="minorEastAsia" w:eastAsiaTheme="minorEastAsia"/>
        </w:rPr>
        <w:t>协调</w:t>
      </w:r>
      <w:r>
        <w:rPr>
          <w:rFonts w:asciiTheme="minorEastAsia" w:hAnsiTheme="minorEastAsia" w:eastAsiaTheme="minorEastAsia"/>
          <w:spacing w:val="-8"/>
        </w:rPr>
        <w:t>、</w:t>
      </w:r>
      <w:r>
        <w:rPr>
          <w:rFonts w:asciiTheme="minorEastAsia" w:hAnsiTheme="minorEastAsia" w:eastAsiaTheme="minorEastAsia"/>
        </w:rPr>
        <w:t>项目验收等 全过程的监理服务，以支持项目建设阶段目标的顺利实现。</w:t>
      </w:r>
    </w:p>
    <w:p>
      <w:pPr>
        <w:pStyle w:val="4"/>
        <w:spacing w:before="15" w:line="360" w:lineRule="auto"/>
        <w:ind w:left="598" w:hanging="480"/>
        <w:outlineLvl w:val="0"/>
        <w:rPr>
          <w:rFonts w:asciiTheme="minorEastAsia" w:hAnsiTheme="minorEastAsia" w:eastAsiaTheme="minorEastAsia"/>
        </w:rPr>
      </w:pPr>
      <w:r>
        <w:rPr>
          <w:rFonts w:cs="Arial" w:asciiTheme="minorEastAsia" w:hAnsiTheme="minorEastAsia" w:eastAsiaTheme="minorEastAsia"/>
          <w:spacing w:val="2"/>
        </w:rPr>
        <w:t>2</w:t>
      </w:r>
      <w:r>
        <w:rPr>
          <w:rFonts w:cs="Arial" w:asciiTheme="minorEastAsia" w:hAnsiTheme="minorEastAsia" w:eastAsiaTheme="minorEastAsia"/>
        </w:rPr>
        <w:t xml:space="preserve">.2 </w:t>
      </w:r>
      <w:r>
        <w:rPr>
          <w:rFonts w:cs="Arial" w:asciiTheme="minorEastAsia" w:hAnsiTheme="minorEastAsia" w:eastAsiaTheme="minorEastAsia"/>
          <w:spacing w:val="12"/>
        </w:rPr>
        <w:t xml:space="preserve"> </w:t>
      </w:r>
      <w:r>
        <w:rPr>
          <w:rFonts w:asciiTheme="minorEastAsia" w:hAnsiTheme="minorEastAsia" w:eastAsiaTheme="minorEastAsia"/>
        </w:rPr>
        <w:t>监</w:t>
      </w:r>
      <w:r>
        <w:rPr>
          <w:rFonts w:asciiTheme="minorEastAsia" w:hAnsiTheme="minorEastAsia" w:eastAsiaTheme="minorEastAsia"/>
          <w:spacing w:val="2"/>
        </w:rPr>
        <w:t>理</w:t>
      </w:r>
      <w:r>
        <w:rPr>
          <w:rFonts w:asciiTheme="minorEastAsia" w:hAnsiTheme="minorEastAsia" w:eastAsiaTheme="minorEastAsia"/>
        </w:rPr>
        <w:t>机构</w:t>
      </w:r>
      <w:r>
        <w:rPr>
          <w:rFonts w:asciiTheme="minorEastAsia" w:hAnsiTheme="minorEastAsia" w:eastAsiaTheme="minorEastAsia"/>
          <w:spacing w:val="2"/>
        </w:rPr>
        <w:t>及</w:t>
      </w:r>
      <w:r>
        <w:rPr>
          <w:rFonts w:asciiTheme="minorEastAsia" w:hAnsiTheme="minorEastAsia" w:eastAsiaTheme="minorEastAsia"/>
        </w:rPr>
        <w:t>工</w:t>
      </w:r>
      <w:r>
        <w:rPr>
          <w:rFonts w:asciiTheme="minorEastAsia" w:hAnsiTheme="minorEastAsia" w:eastAsiaTheme="minorEastAsia"/>
          <w:spacing w:val="2"/>
        </w:rPr>
        <w:t>作</w:t>
      </w:r>
      <w:r>
        <w:rPr>
          <w:rFonts w:asciiTheme="minorEastAsia" w:hAnsiTheme="minorEastAsia" w:eastAsiaTheme="minorEastAsia"/>
        </w:rPr>
        <w:t xml:space="preserve">条件 </w:t>
      </w:r>
    </w:p>
    <w:p>
      <w:pPr>
        <w:pStyle w:val="4"/>
        <w:spacing w:before="58" w:line="360" w:lineRule="auto"/>
        <w:ind w:right="88" w:firstLine="480"/>
        <w:rPr>
          <w:rFonts w:asciiTheme="minorEastAsia" w:hAnsiTheme="minorEastAsia" w:eastAsiaTheme="minorEastAsia"/>
        </w:rPr>
      </w:pPr>
      <w:r>
        <w:rPr>
          <w:rFonts w:asciiTheme="minorEastAsia" w:hAnsiTheme="minorEastAsia" w:eastAsiaTheme="minorEastAsia"/>
        </w:rPr>
        <w:t>投标人在执行监理合同时建立工程项目监理机构，在完成合同约定的监理任务后方可解散。投标人应严格按照合同履行监理责任。监理人员构成包括总监理工程师及其他组成人员。监理人员应各尽其责，投标人应保证其机构人员在监理过程中的稳定，如需调整，应经采购人同意，调整后应予以书面通知。总监理工程师须从事信息化项目监理 10 年及以上，以人事局签发信息系统监理师证书（中级）批准日期为准，并提供总监理工程师近三个月缴纳社保证明文件。监理团队应不少于 5人，须全部具有信息系统监理师证书（中级）。</w:t>
      </w:r>
    </w:p>
    <w:p>
      <w:pPr>
        <w:pStyle w:val="4"/>
        <w:spacing w:before="58" w:line="360" w:lineRule="auto"/>
        <w:ind w:right="88" w:firstLine="480"/>
        <w:rPr>
          <w:rFonts w:asciiTheme="minorEastAsia" w:hAnsiTheme="minorEastAsia" w:eastAsiaTheme="minorEastAsia"/>
        </w:rPr>
      </w:pPr>
      <w:r>
        <w:rPr>
          <w:rFonts w:asciiTheme="minorEastAsia" w:hAnsiTheme="minorEastAsia" w:eastAsiaTheme="minorEastAsia"/>
        </w:rPr>
        <w:t>投标人应根据工程的具体情况，按合同约定，配备满足监理工作需要的设备和工具，应妥善使用采购人所提供的设施。</w:t>
      </w:r>
    </w:p>
    <w:p>
      <w:pPr>
        <w:pStyle w:val="4"/>
        <w:spacing w:before="58" w:line="360" w:lineRule="auto"/>
        <w:ind w:right="88" w:firstLine="480"/>
        <w:rPr>
          <w:rFonts w:asciiTheme="minorEastAsia" w:hAnsiTheme="minorEastAsia" w:eastAsiaTheme="minorEastAsia"/>
        </w:rPr>
      </w:pPr>
      <w:r>
        <w:rPr>
          <w:rFonts w:asciiTheme="minorEastAsia" w:hAnsiTheme="minorEastAsia" w:eastAsiaTheme="minorEastAsia"/>
        </w:rPr>
        <w:t>投标人应遵守相应的监理工作制度，包括会议制度、监理文件制度、监理记录制度、工作报告制度等，保证监理工作协调有序的进行。</w:t>
      </w:r>
    </w:p>
    <w:p>
      <w:pPr>
        <w:pStyle w:val="4"/>
        <w:spacing w:before="15" w:line="360" w:lineRule="auto"/>
        <w:ind w:left="598" w:hanging="480"/>
        <w:outlineLvl w:val="0"/>
        <w:rPr>
          <w:rFonts w:asciiTheme="minorEastAsia" w:hAnsiTheme="minorEastAsia" w:eastAsiaTheme="minorEastAsia"/>
        </w:rPr>
      </w:pPr>
      <w:r>
        <w:rPr>
          <w:rFonts w:cs="Arial" w:asciiTheme="minorEastAsia" w:hAnsiTheme="minorEastAsia" w:eastAsiaTheme="minorEastAsia"/>
          <w:spacing w:val="2"/>
        </w:rPr>
        <w:t>2</w:t>
      </w:r>
      <w:r>
        <w:rPr>
          <w:rFonts w:cs="Arial" w:asciiTheme="minorEastAsia" w:hAnsiTheme="minorEastAsia" w:eastAsiaTheme="minorEastAsia"/>
        </w:rPr>
        <w:t xml:space="preserve">.3 </w:t>
      </w:r>
      <w:r>
        <w:rPr>
          <w:rFonts w:cs="Arial" w:asciiTheme="minorEastAsia" w:hAnsiTheme="minorEastAsia" w:eastAsiaTheme="minorEastAsia"/>
          <w:spacing w:val="12"/>
        </w:rPr>
        <w:t xml:space="preserve"> </w:t>
      </w:r>
      <w:r>
        <w:rPr>
          <w:rFonts w:asciiTheme="minorEastAsia" w:hAnsiTheme="minorEastAsia" w:eastAsiaTheme="minorEastAsia"/>
        </w:rPr>
        <w:t>监</w:t>
      </w:r>
      <w:r>
        <w:rPr>
          <w:rFonts w:asciiTheme="minorEastAsia" w:hAnsiTheme="minorEastAsia" w:eastAsiaTheme="minorEastAsia"/>
          <w:spacing w:val="2"/>
        </w:rPr>
        <w:t>理</w:t>
      </w:r>
      <w:r>
        <w:rPr>
          <w:rFonts w:asciiTheme="minorEastAsia" w:hAnsiTheme="minorEastAsia" w:eastAsiaTheme="minorEastAsia"/>
        </w:rPr>
        <w:t>规划</w:t>
      </w:r>
      <w:r>
        <w:rPr>
          <w:rFonts w:asciiTheme="minorEastAsia" w:hAnsiTheme="minorEastAsia" w:eastAsiaTheme="minorEastAsia"/>
          <w:spacing w:val="2"/>
        </w:rPr>
        <w:t>及</w:t>
      </w:r>
      <w:r>
        <w:rPr>
          <w:rFonts w:asciiTheme="minorEastAsia" w:hAnsiTheme="minorEastAsia" w:eastAsiaTheme="minorEastAsia"/>
        </w:rPr>
        <w:t>实</w:t>
      </w:r>
      <w:r>
        <w:rPr>
          <w:rFonts w:asciiTheme="minorEastAsia" w:hAnsiTheme="minorEastAsia" w:eastAsiaTheme="minorEastAsia"/>
          <w:spacing w:val="2"/>
        </w:rPr>
        <w:t>施</w:t>
      </w:r>
      <w:r>
        <w:rPr>
          <w:rFonts w:asciiTheme="minorEastAsia" w:hAnsiTheme="minorEastAsia" w:eastAsiaTheme="minorEastAsia"/>
        </w:rPr>
        <w:t xml:space="preserve">方案 </w:t>
      </w:r>
    </w:p>
    <w:p>
      <w:pPr>
        <w:pStyle w:val="4"/>
        <w:spacing w:before="58" w:line="360" w:lineRule="auto"/>
        <w:ind w:right="88" w:firstLine="480"/>
        <w:rPr>
          <w:rFonts w:asciiTheme="minorEastAsia" w:hAnsiTheme="minorEastAsia" w:eastAsiaTheme="minorEastAsia"/>
        </w:rPr>
      </w:pPr>
      <w:r>
        <w:rPr>
          <w:rFonts w:asciiTheme="minorEastAsia" w:hAnsiTheme="minorEastAsia" w:eastAsiaTheme="minorEastAsia"/>
        </w:rPr>
        <w:t xml:space="preserve">投标人应根据项目的实际情况编制项目监理规划，确定项目监理机构的具体工作目标和任务，规定具体的监理工作制度、程序、方法和措施。投标人应编制项目监理实施总体方案和详实的细化方案。实施方案应符合项目监理规划的要求，并应结合工程项目的特点，做到详细具体，可操作。 </w:t>
      </w:r>
    </w:p>
    <w:p>
      <w:pPr>
        <w:pStyle w:val="4"/>
        <w:spacing w:before="15" w:line="360" w:lineRule="auto"/>
        <w:ind w:left="598" w:hanging="480"/>
        <w:outlineLvl w:val="0"/>
        <w:rPr>
          <w:rFonts w:asciiTheme="minorEastAsia" w:hAnsiTheme="minorEastAsia" w:eastAsiaTheme="minorEastAsia"/>
        </w:rPr>
      </w:pPr>
      <w:r>
        <w:rPr>
          <w:rFonts w:cs="Arial" w:asciiTheme="minorEastAsia" w:hAnsiTheme="minorEastAsia" w:eastAsiaTheme="minorEastAsia"/>
          <w:spacing w:val="2"/>
        </w:rPr>
        <w:t>2</w:t>
      </w:r>
      <w:r>
        <w:rPr>
          <w:rFonts w:cs="Arial" w:asciiTheme="minorEastAsia" w:hAnsiTheme="minorEastAsia" w:eastAsiaTheme="minorEastAsia"/>
        </w:rPr>
        <w:t xml:space="preserve">.4 </w:t>
      </w:r>
      <w:r>
        <w:rPr>
          <w:rFonts w:cs="Arial" w:asciiTheme="minorEastAsia" w:hAnsiTheme="minorEastAsia" w:eastAsiaTheme="minorEastAsia"/>
          <w:spacing w:val="12"/>
        </w:rPr>
        <w:t xml:space="preserve"> </w:t>
      </w:r>
      <w:r>
        <w:rPr>
          <w:rFonts w:asciiTheme="minorEastAsia" w:hAnsiTheme="minorEastAsia" w:eastAsiaTheme="minorEastAsia"/>
        </w:rPr>
        <w:t>监</w:t>
      </w:r>
      <w:r>
        <w:rPr>
          <w:rFonts w:asciiTheme="minorEastAsia" w:hAnsiTheme="minorEastAsia" w:eastAsiaTheme="minorEastAsia"/>
          <w:spacing w:val="2"/>
        </w:rPr>
        <w:t>理</w:t>
      </w:r>
      <w:r>
        <w:rPr>
          <w:rFonts w:asciiTheme="minorEastAsia" w:hAnsiTheme="minorEastAsia" w:eastAsiaTheme="minorEastAsia"/>
        </w:rPr>
        <w:t>工作</w:t>
      </w:r>
      <w:r>
        <w:rPr>
          <w:rFonts w:asciiTheme="minorEastAsia" w:hAnsiTheme="minorEastAsia" w:eastAsiaTheme="minorEastAsia"/>
          <w:spacing w:val="2"/>
        </w:rPr>
        <w:t>范</w:t>
      </w:r>
      <w:r>
        <w:rPr>
          <w:rFonts w:asciiTheme="minorEastAsia" w:hAnsiTheme="minorEastAsia" w:eastAsiaTheme="minorEastAsia"/>
        </w:rPr>
        <w:t>围</w:t>
      </w:r>
      <w:r>
        <w:rPr>
          <w:rFonts w:hint="eastAsia" w:asciiTheme="minorEastAsia" w:hAnsiTheme="minorEastAsia" w:eastAsiaTheme="minorEastAsia"/>
        </w:rPr>
        <w:t xml:space="preserve">  </w:t>
      </w:r>
    </w:p>
    <w:p>
      <w:pPr>
        <w:pStyle w:val="4"/>
        <w:spacing w:before="58" w:line="360" w:lineRule="auto"/>
        <w:ind w:right="88" w:firstLine="480"/>
        <w:rPr>
          <w:rFonts w:asciiTheme="minorEastAsia" w:hAnsiTheme="minorEastAsia"/>
          <w:sz w:val="16"/>
          <w:szCs w:val="16"/>
        </w:rPr>
      </w:pPr>
      <w:r>
        <w:rPr>
          <w:rFonts w:asciiTheme="minorEastAsia" w:hAnsiTheme="minorEastAsia" w:eastAsiaTheme="minorEastAsia"/>
        </w:rPr>
        <w:t>本次招标的监理范围包括：依据合同及技术协议进行项目监督与管理。投标人遵循 科学、公正、遵纪、守法、诚信、守约的职业道德，凭着高度的责任心和丰富的专业技 术经验，根据国家的有关法规、技术规范和标准，有重点的、全面的、精线条的监理。标人不仅仅要对建设项目服务的关键点和关键环节进行监理，而且要全过程、全方位地开展项目监理工作。监理范围如下表所示：</w:t>
      </w:r>
    </w:p>
    <w:tbl>
      <w:tblPr>
        <w:tblStyle w:val="25"/>
        <w:tblW w:w="7659" w:type="dxa"/>
        <w:tblInd w:w="156" w:type="dxa"/>
        <w:tblLayout w:type="fixed"/>
        <w:tblCellMar>
          <w:top w:w="0" w:type="dxa"/>
          <w:left w:w="0" w:type="dxa"/>
          <w:bottom w:w="0" w:type="dxa"/>
          <w:right w:w="0" w:type="dxa"/>
        </w:tblCellMar>
      </w:tblPr>
      <w:tblGrid>
        <w:gridCol w:w="1320"/>
        <w:gridCol w:w="910"/>
        <w:gridCol w:w="878"/>
        <w:gridCol w:w="950"/>
        <w:gridCol w:w="869"/>
        <w:gridCol w:w="869"/>
        <w:gridCol w:w="905"/>
        <w:gridCol w:w="958"/>
      </w:tblGrid>
      <w:tr>
        <w:trPr>
          <w:trHeight w:val="396" w:hRule="exact"/>
        </w:trPr>
        <w:tc>
          <w:tcPr>
            <w:tcW w:w="1320" w:type="dxa"/>
            <w:tcBorders>
              <w:top w:val="single" w:color="000000" w:sz="6" w:space="0"/>
              <w:left w:val="single" w:color="000000" w:sz="6" w:space="0"/>
              <w:bottom w:val="nil"/>
              <w:right w:val="single" w:color="000000" w:sz="6" w:space="0"/>
            </w:tcBorders>
          </w:tcPr>
          <w:p>
            <w:pPr>
              <w:pStyle w:val="26"/>
              <w:spacing w:line="360" w:lineRule="auto"/>
              <w:ind w:left="479" w:firstLine="440"/>
              <w:rPr>
                <w:rFonts w:cs="微软雅黑" w:asciiTheme="minorEastAsia" w:hAnsiTheme="minorEastAsia"/>
                <w:sz w:val="24"/>
                <w:szCs w:val="24"/>
              </w:rPr>
            </w:pPr>
            <w:r>
              <w:rPr>
                <w:rFonts w:asciiTheme="minorEastAsia" w:hAnsiTheme="minorEastAsia"/>
                <w:lang w:eastAsia="zh-CN"/>
              </w:rPr>
              <mc:AlternateContent>
                <mc:Choice Requires="wpg">
                  <w:drawing>
                    <wp:anchor distT="0" distB="0" distL="114300" distR="114300" simplePos="0" relativeHeight="251659264" behindDoc="1" locked="0" layoutInCell="1" allowOverlap="1">
                      <wp:simplePos x="0" y="0"/>
                      <wp:positionH relativeFrom="page">
                        <wp:posOffset>10795</wp:posOffset>
                      </wp:positionH>
                      <wp:positionV relativeFrom="paragraph">
                        <wp:posOffset>-9525</wp:posOffset>
                      </wp:positionV>
                      <wp:extent cx="829310" cy="593090"/>
                      <wp:effectExtent l="13970" t="8890" r="4445" b="7620"/>
                      <wp:wrapNone/>
                      <wp:docPr id="1" name="组合 1"/>
                      <wp:cNvGraphicFramePr/>
                      <a:graphic xmlns:a="http://schemas.openxmlformats.org/drawingml/2006/main">
                        <a:graphicData uri="http://schemas.microsoft.com/office/word/2010/wordprocessingGroup">
                          <wpg:wgp>
                            <wpg:cNvGrpSpPr/>
                            <wpg:grpSpPr>
                              <a:xfrm>
                                <a:off x="0" y="0"/>
                                <a:ext cx="829310" cy="593090"/>
                                <a:chOff x="2132" y="602"/>
                                <a:chExt cx="1306" cy="934"/>
                              </a:xfrm>
                            </wpg:grpSpPr>
                            <wps:wsp>
                              <wps:cNvPr id="2" name="Freeform 3"/>
                              <wps:cNvSpPr/>
                              <wps:spPr bwMode="auto">
                                <a:xfrm>
                                  <a:off x="2132" y="602"/>
                                  <a:ext cx="1306" cy="934"/>
                                </a:xfrm>
                                <a:custGeom>
                                  <a:avLst/>
                                  <a:gdLst>
                                    <a:gd name="T0" fmla="+- 0 2132 2132"/>
                                    <a:gd name="T1" fmla="*/ T0 w 1306"/>
                                    <a:gd name="T2" fmla="+- 0 602 602"/>
                                    <a:gd name="T3" fmla="*/ 602 h 934"/>
                                    <a:gd name="T4" fmla="+- 0 3437 2132"/>
                                    <a:gd name="T5" fmla="*/ T4 w 1306"/>
                                    <a:gd name="T6" fmla="+- 0 1535 602"/>
                                    <a:gd name="T7" fmla="*/ 1535 h 934"/>
                                  </a:gdLst>
                                  <a:ahLst/>
                                  <a:cxnLst>
                                    <a:cxn ang="0">
                                      <a:pos x="T1" y="T3"/>
                                    </a:cxn>
                                    <a:cxn ang="0">
                                      <a:pos x="T5" y="T7"/>
                                    </a:cxn>
                                  </a:cxnLst>
                                  <a:rect l="0" t="0" r="r" b="b"/>
                                  <a:pathLst>
                                    <a:path w="1306" h="934">
                                      <a:moveTo>
                                        <a:pt x="0" y="0"/>
                                      </a:moveTo>
                                      <a:lnTo>
                                        <a:pt x="1305" y="933"/>
                                      </a:lnTo>
                                    </a:path>
                                  </a:pathLst>
                                </a:custGeom>
                                <a:noFill/>
                                <a:ln w="6096">
                                  <a:solidFill>
                                    <a:srgbClr val="00000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85pt;margin-top:-0.75pt;height:46.7pt;width:65.3pt;mso-position-horizontal-relative:page;z-index:-251657216;mso-width-relative:page;mso-height-relative:page;" coordorigin="2132,602" coordsize="1306,934" o:gfxdata="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7hzjC1gAAAAcBAAAPAAAAAAAAAAEAIAAAACIAAABkcnMvZG93bnJldi54bWxQSwECFAAUAAAA&#10;CACHTuJAENmrR0YDAACQBwAADgAAAAAAAAABACAAAAAlAQAAZHJzL2Uyb0RvYy54bWxQSwUGAAAA&#10;AAYABgBZAQAA3QYAAAAA&#10;">
                      <o:lock v:ext="edit" aspectratio="f"/>
                      <v:shape id="Freeform 3" o:spid="_x0000_s1026" o:spt="100" style="position:absolute;left:2132;top:602;height:934;width:1306;" filled="f" stroked="t" coordsize="1306,934" o:gfxdata="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s91S8AAAA&#10;2gAAAA8AAAAAAAAAAQAgAAAAIgAAAGRycy9kb3ducmV2LnhtbFBLAQIUABQAAAAIAIdO4kAzLwWe&#10;OwAAADkAAAAQAAAAAAAAAAEAIAAAAAsBAABkcnMvc2hhcGV4bWwueG1sUEsFBgAAAAAGAAYAWwEA&#10;ALUDAAAAAA==&#10;" path="m0,0l1305,933e">
                        <v:path o:connectlocs="0,602;1305,1535" o:connectangles="0,0"/>
                        <v:fill on="f" focussize="0,0"/>
                        <v:stroke weight="0.48pt" color="#000000" joinstyle="round"/>
                        <v:imagedata o:title=""/>
                        <o:lock v:ext="edit" aspectratio="f"/>
                      </v:shape>
                    </v:group>
                  </w:pict>
                </mc:Fallback>
              </mc:AlternateContent>
            </w:r>
            <w:r>
              <w:rPr>
                <w:rFonts w:cs="微软雅黑" w:asciiTheme="minorEastAsia" w:hAnsiTheme="minorEastAsia"/>
                <w:sz w:val="24"/>
                <w:szCs w:val="24"/>
              </w:rPr>
              <w:t>任务</w:t>
            </w:r>
          </w:p>
        </w:tc>
        <w:tc>
          <w:tcPr>
            <w:tcW w:w="910" w:type="dxa"/>
            <w:tcBorders>
              <w:top w:val="single" w:color="000000" w:sz="6" w:space="0"/>
              <w:left w:val="single" w:color="000000" w:sz="6" w:space="0"/>
              <w:bottom w:val="nil"/>
              <w:right w:val="single" w:color="000000" w:sz="6" w:space="0"/>
            </w:tcBorders>
          </w:tcPr>
          <w:p>
            <w:pPr>
              <w:pStyle w:val="26"/>
              <w:spacing w:line="360" w:lineRule="auto"/>
              <w:ind w:left="-1" w:firstLine="480"/>
              <w:rPr>
                <w:rFonts w:cs="微软雅黑" w:asciiTheme="minorEastAsia" w:hAnsiTheme="minorEastAsia"/>
                <w:sz w:val="24"/>
                <w:szCs w:val="24"/>
              </w:rPr>
            </w:pPr>
            <w:r>
              <w:rPr>
                <w:rFonts w:cs="微软雅黑" w:asciiTheme="minorEastAsia" w:hAnsiTheme="minorEastAsia"/>
                <w:sz w:val="24"/>
                <w:szCs w:val="24"/>
              </w:rPr>
              <w:t>质量</w:t>
            </w:r>
          </w:p>
        </w:tc>
        <w:tc>
          <w:tcPr>
            <w:tcW w:w="878" w:type="dxa"/>
            <w:tcBorders>
              <w:top w:val="single" w:color="000000" w:sz="6" w:space="0"/>
              <w:left w:val="single" w:color="000000" w:sz="6" w:space="0"/>
              <w:bottom w:val="nil"/>
              <w:right w:val="single" w:color="000000" w:sz="6" w:space="0"/>
            </w:tcBorders>
          </w:tcPr>
          <w:p>
            <w:pPr>
              <w:pStyle w:val="26"/>
              <w:spacing w:line="360" w:lineRule="auto"/>
              <w:ind w:left="-1" w:firstLine="480"/>
              <w:rPr>
                <w:rFonts w:cs="微软雅黑" w:asciiTheme="minorEastAsia" w:hAnsiTheme="minorEastAsia"/>
                <w:sz w:val="24"/>
                <w:szCs w:val="24"/>
              </w:rPr>
            </w:pPr>
            <w:r>
              <w:rPr>
                <w:rFonts w:cs="微软雅黑" w:asciiTheme="minorEastAsia" w:hAnsiTheme="minorEastAsia"/>
                <w:sz w:val="24"/>
                <w:szCs w:val="24"/>
              </w:rPr>
              <w:t>进度</w:t>
            </w:r>
          </w:p>
        </w:tc>
        <w:tc>
          <w:tcPr>
            <w:tcW w:w="950" w:type="dxa"/>
            <w:tcBorders>
              <w:top w:val="single" w:color="000000" w:sz="6" w:space="0"/>
              <w:left w:val="single" w:color="000000" w:sz="6" w:space="0"/>
              <w:bottom w:val="nil"/>
              <w:right w:val="single" w:color="000000" w:sz="6" w:space="0"/>
            </w:tcBorders>
          </w:tcPr>
          <w:p>
            <w:pPr>
              <w:pStyle w:val="26"/>
              <w:spacing w:line="360" w:lineRule="auto"/>
              <w:ind w:left="-1" w:firstLine="480"/>
              <w:rPr>
                <w:rFonts w:cs="微软雅黑" w:asciiTheme="minorEastAsia" w:hAnsiTheme="minorEastAsia"/>
                <w:sz w:val="24"/>
                <w:szCs w:val="24"/>
              </w:rPr>
            </w:pPr>
            <w:r>
              <w:rPr>
                <w:rFonts w:cs="微软雅黑" w:asciiTheme="minorEastAsia" w:hAnsiTheme="minorEastAsia"/>
                <w:sz w:val="24"/>
                <w:szCs w:val="24"/>
              </w:rPr>
              <w:t>投资</w:t>
            </w:r>
          </w:p>
        </w:tc>
        <w:tc>
          <w:tcPr>
            <w:tcW w:w="869" w:type="dxa"/>
            <w:tcBorders>
              <w:top w:val="single" w:color="000000" w:sz="6" w:space="0"/>
              <w:left w:val="single" w:color="000000" w:sz="6" w:space="0"/>
              <w:bottom w:val="nil"/>
              <w:right w:val="single" w:color="000000" w:sz="6" w:space="0"/>
            </w:tcBorders>
          </w:tcPr>
          <w:p>
            <w:pPr>
              <w:pStyle w:val="26"/>
              <w:spacing w:line="360" w:lineRule="auto"/>
              <w:ind w:left="-1" w:firstLine="480"/>
              <w:rPr>
                <w:rFonts w:cs="微软雅黑" w:asciiTheme="minorEastAsia" w:hAnsiTheme="minorEastAsia"/>
                <w:sz w:val="24"/>
                <w:szCs w:val="24"/>
              </w:rPr>
            </w:pPr>
            <w:r>
              <w:rPr>
                <w:rFonts w:cs="微软雅黑" w:asciiTheme="minorEastAsia" w:hAnsiTheme="minorEastAsia"/>
                <w:sz w:val="24"/>
                <w:szCs w:val="24"/>
              </w:rPr>
              <w:t>安全</w:t>
            </w:r>
          </w:p>
        </w:tc>
        <w:tc>
          <w:tcPr>
            <w:tcW w:w="869" w:type="dxa"/>
            <w:tcBorders>
              <w:top w:val="single" w:color="000000" w:sz="6" w:space="0"/>
              <w:left w:val="single" w:color="000000" w:sz="6" w:space="0"/>
              <w:bottom w:val="nil"/>
              <w:right w:val="single" w:color="000000" w:sz="6" w:space="0"/>
            </w:tcBorders>
          </w:tcPr>
          <w:p>
            <w:pPr>
              <w:pStyle w:val="26"/>
              <w:spacing w:line="360" w:lineRule="auto"/>
              <w:ind w:left="-1" w:firstLine="480"/>
              <w:rPr>
                <w:rFonts w:cs="微软雅黑" w:asciiTheme="minorEastAsia" w:hAnsiTheme="minorEastAsia"/>
                <w:sz w:val="24"/>
                <w:szCs w:val="24"/>
              </w:rPr>
            </w:pPr>
            <w:r>
              <w:rPr>
                <w:rFonts w:cs="微软雅黑" w:asciiTheme="minorEastAsia" w:hAnsiTheme="minorEastAsia"/>
                <w:sz w:val="24"/>
                <w:szCs w:val="24"/>
              </w:rPr>
              <w:t>合同</w:t>
            </w:r>
          </w:p>
        </w:tc>
        <w:tc>
          <w:tcPr>
            <w:tcW w:w="905" w:type="dxa"/>
            <w:tcBorders>
              <w:top w:val="single" w:color="000000" w:sz="6" w:space="0"/>
              <w:left w:val="single" w:color="000000" w:sz="6" w:space="0"/>
              <w:bottom w:val="nil"/>
              <w:right w:val="single" w:color="000000" w:sz="6" w:space="0"/>
            </w:tcBorders>
          </w:tcPr>
          <w:p>
            <w:pPr>
              <w:pStyle w:val="26"/>
              <w:spacing w:line="360" w:lineRule="auto"/>
              <w:ind w:left="-1" w:firstLine="480"/>
              <w:rPr>
                <w:rFonts w:cs="微软雅黑" w:asciiTheme="minorEastAsia" w:hAnsiTheme="minorEastAsia"/>
                <w:sz w:val="24"/>
                <w:szCs w:val="24"/>
              </w:rPr>
            </w:pPr>
            <w:r>
              <w:rPr>
                <w:rFonts w:cs="微软雅黑" w:asciiTheme="minorEastAsia" w:hAnsiTheme="minorEastAsia"/>
                <w:sz w:val="24"/>
                <w:szCs w:val="24"/>
              </w:rPr>
              <w:t>文档</w:t>
            </w:r>
          </w:p>
        </w:tc>
        <w:tc>
          <w:tcPr>
            <w:tcW w:w="958" w:type="dxa"/>
            <w:tcBorders>
              <w:top w:val="single" w:color="000000" w:sz="6" w:space="0"/>
              <w:left w:val="single" w:color="000000" w:sz="6" w:space="0"/>
              <w:bottom w:val="nil"/>
              <w:right w:val="single" w:color="000000" w:sz="6" w:space="0"/>
            </w:tcBorders>
          </w:tcPr>
          <w:p>
            <w:pPr>
              <w:pStyle w:val="26"/>
              <w:spacing w:line="360" w:lineRule="auto"/>
              <w:ind w:left="-1" w:firstLine="480"/>
              <w:rPr>
                <w:rFonts w:cs="微软雅黑" w:asciiTheme="minorEastAsia" w:hAnsiTheme="minorEastAsia"/>
                <w:sz w:val="24"/>
                <w:szCs w:val="24"/>
              </w:rPr>
            </w:pPr>
            <w:r>
              <w:rPr>
                <w:rFonts w:cs="微软雅黑" w:asciiTheme="minorEastAsia" w:hAnsiTheme="minorEastAsia"/>
                <w:sz w:val="24"/>
                <w:szCs w:val="24"/>
              </w:rPr>
              <w:t>组织</w:t>
            </w:r>
          </w:p>
        </w:tc>
      </w:tr>
      <w:tr>
        <w:tblPrEx>
          <w:tblCellMar>
            <w:top w:w="0" w:type="dxa"/>
            <w:left w:w="0" w:type="dxa"/>
            <w:bottom w:w="0" w:type="dxa"/>
            <w:right w:w="0" w:type="dxa"/>
          </w:tblCellMar>
        </w:tblPrEx>
        <w:trPr>
          <w:trHeight w:val="552" w:hRule="exact"/>
        </w:trPr>
        <w:tc>
          <w:tcPr>
            <w:tcW w:w="1320" w:type="dxa"/>
            <w:tcBorders>
              <w:top w:val="nil"/>
              <w:left w:val="single" w:color="000000" w:sz="6" w:space="0"/>
              <w:bottom w:val="single" w:color="000000" w:sz="6" w:space="0"/>
              <w:right w:val="single" w:color="000000" w:sz="6" w:space="0"/>
            </w:tcBorders>
          </w:tcPr>
          <w:p>
            <w:pPr>
              <w:pStyle w:val="26"/>
              <w:spacing w:line="360" w:lineRule="auto"/>
              <w:ind w:left="-1" w:firstLine="480"/>
              <w:rPr>
                <w:rFonts w:cs="微软雅黑" w:asciiTheme="minorEastAsia" w:hAnsiTheme="minorEastAsia"/>
                <w:sz w:val="24"/>
                <w:szCs w:val="24"/>
              </w:rPr>
            </w:pPr>
            <w:r>
              <w:rPr>
                <w:rFonts w:cs="微软雅黑" w:asciiTheme="minorEastAsia" w:hAnsiTheme="minorEastAsia"/>
                <w:sz w:val="24"/>
                <w:szCs w:val="24"/>
              </w:rPr>
              <w:t>时间段</w:t>
            </w:r>
          </w:p>
        </w:tc>
        <w:tc>
          <w:tcPr>
            <w:tcW w:w="910" w:type="dxa"/>
            <w:tcBorders>
              <w:top w:val="nil"/>
              <w:left w:val="single" w:color="000000" w:sz="6" w:space="0"/>
              <w:bottom w:val="single" w:color="000000" w:sz="6" w:space="0"/>
              <w:right w:val="single" w:color="000000" w:sz="6" w:space="0"/>
            </w:tcBorders>
          </w:tcPr>
          <w:p>
            <w:pPr>
              <w:pStyle w:val="26"/>
              <w:spacing w:line="360" w:lineRule="auto"/>
              <w:ind w:left="-1" w:firstLine="480"/>
              <w:rPr>
                <w:rFonts w:cs="微软雅黑" w:asciiTheme="minorEastAsia" w:hAnsiTheme="minorEastAsia"/>
                <w:sz w:val="24"/>
                <w:szCs w:val="24"/>
              </w:rPr>
            </w:pPr>
            <w:r>
              <w:rPr>
                <w:rFonts w:cs="微软雅黑" w:asciiTheme="minorEastAsia" w:hAnsiTheme="minorEastAsia"/>
                <w:sz w:val="24"/>
                <w:szCs w:val="24"/>
              </w:rPr>
              <w:t>控制</w:t>
            </w:r>
          </w:p>
        </w:tc>
        <w:tc>
          <w:tcPr>
            <w:tcW w:w="878" w:type="dxa"/>
            <w:tcBorders>
              <w:top w:val="nil"/>
              <w:left w:val="single" w:color="000000" w:sz="6" w:space="0"/>
              <w:bottom w:val="single" w:color="000000" w:sz="6" w:space="0"/>
              <w:right w:val="single" w:color="000000" w:sz="6" w:space="0"/>
            </w:tcBorders>
          </w:tcPr>
          <w:p>
            <w:pPr>
              <w:pStyle w:val="26"/>
              <w:spacing w:line="360" w:lineRule="auto"/>
              <w:ind w:left="-1" w:firstLine="480"/>
              <w:rPr>
                <w:rFonts w:cs="微软雅黑" w:asciiTheme="minorEastAsia" w:hAnsiTheme="minorEastAsia"/>
                <w:sz w:val="24"/>
                <w:szCs w:val="24"/>
              </w:rPr>
            </w:pPr>
            <w:r>
              <w:rPr>
                <w:rFonts w:cs="微软雅黑" w:asciiTheme="minorEastAsia" w:hAnsiTheme="minorEastAsia"/>
                <w:sz w:val="24"/>
                <w:szCs w:val="24"/>
              </w:rPr>
              <w:t>控制</w:t>
            </w:r>
          </w:p>
        </w:tc>
        <w:tc>
          <w:tcPr>
            <w:tcW w:w="950" w:type="dxa"/>
            <w:tcBorders>
              <w:top w:val="nil"/>
              <w:left w:val="single" w:color="000000" w:sz="6" w:space="0"/>
              <w:bottom w:val="single" w:color="000000" w:sz="6" w:space="0"/>
              <w:right w:val="single" w:color="000000" w:sz="6" w:space="0"/>
            </w:tcBorders>
          </w:tcPr>
          <w:p>
            <w:pPr>
              <w:pStyle w:val="26"/>
              <w:spacing w:line="360" w:lineRule="auto"/>
              <w:ind w:left="-1" w:firstLine="480"/>
              <w:rPr>
                <w:rFonts w:cs="微软雅黑" w:asciiTheme="minorEastAsia" w:hAnsiTheme="minorEastAsia"/>
                <w:sz w:val="24"/>
                <w:szCs w:val="24"/>
              </w:rPr>
            </w:pPr>
            <w:r>
              <w:rPr>
                <w:rFonts w:cs="微软雅黑" w:asciiTheme="minorEastAsia" w:hAnsiTheme="minorEastAsia"/>
                <w:sz w:val="24"/>
                <w:szCs w:val="24"/>
              </w:rPr>
              <w:t>控制</w:t>
            </w:r>
          </w:p>
        </w:tc>
        <w:tc>
          <w:tcPr>
            <w:tcW w:w="869" w:type="dxa"/>
            <w:tcBorders>
              <w:top w:val="nil"/>
              <w:left w:val="single" w:color="000000" w:sz="6" w:space="0"/>
              <w:bottom w:val="single" w:color="000000" w:sz="6" w:space="0"/>
              <w:right w:val="single" w:color="000000" w:sz="6" w:space="0"/>
            </w:tcBorders>
          </w:tcPr>
          <w:p>
            <w:pPr>
              <w:pStyle w:val="26"/>
              <w:spacing w:line="360" w:lineRule="auto"/>
              <w:ind w:left="-1" w:firstLine="480"/>
              <w:rPr>
                <w:rFonts w:cs="微软雅黑" w:asciiTheme="minorEastAsia" w:hAnsiTheme="minorEastAsia"/>
                <w:sz w:val="24"/>
                <w:szCs w:val="24"/>
              </w:rPr>
            </w:pPr>
            <w:r>
              <w:rPr>
                <w:rFonts w:cs="微软雅黑" w:asciiTheme="minorEastAsia" w:hAnsiTheme="minorEastAsia"/>
                <w:sz w:val="24"/>
                <w:szCs w:val="24"/>
              </w:rPr>
              <w:t>控制</w:t>
            </w:r>
          </w:p>
        </w:tc>
        <w:tc>
          <w:tcPr>
            <w:tcW w:w="869" w:type="dxa"/>
            <w:tcBorders>
              <w:top w:val="nil"/>
              <w:left w:val="single" w:color="000000" w:sz="6" w:space="0"/>
              <w:bottom w:val="single" w:color="000000" w:sz="6" w:space="0"/>
              <w:right w:val="single" w:color="000000" w:sz="6" w:space="0"/>
            </w:tcBorders>
          </w:tcPr>
          <w:p>
            <w:pPr>
              <w:pStyle w:val="26"/>
              <w:spacing w:line="360" w:lineRule="auto"/>
              <w:ind w:left="-1" w:firstLine="480"/>
              <w:rPr>
                <w:rFonts w:cs="微软雅黑" w:asciiTheme="minorEastAsia" w:hAnsiTheme="minorEastAsia"/>
                <w:sz w:val="24"/>
                <w:szCs w:val="24"/>
              </w:rPr>
            </w:pPr>
            <w:r>
              <w:rPr>
                <w:rFonts w:cs="微软雅黑" w:asciiTheme="minorEastAsia" w:hAnsiTheme="minorEastAsia"/>
                <w:sz w:val="24"/>
                <w:szCs w:val="24"/>
              </w:rPr>
              <w:t>管理</w:t>
            </w:r>
          </w:p>
        </w:tc>
        <w:tc>
          <w:tcPr>
            <w:tcW w:w="905" w:type="dxa"/>
            <w:tcBorders>
              <w:top w:val="nil"/>
              <w:left w:val="single" w:color="000000" w:sz="6" w:space="0"/>
              <w:bottom w:val="single" w:color="000000" w:sz="6" w:space="0"/>
              <w:right w:val="single" w:color="000000" w:sz="6" w:space="0"/>
            </w:tcBorders>
          </w:tcPr>
          <w:p>
            <w:pPr>
              <w:pStyle w:val="26"/>
              <w:spacing w:line="360" w:lineRule="auto"/>
              <w:ind w:left="-1" w:firstLine="480"/>
              <w:rPr>
                <w:rFonts w:cs="微软雅黑" w:asciiTheme="minorEastAsia" w:hAnsiTheme="minorEastAsia"/>
                <w:sz w:val="24"/>
                <w:szCs w:val="24"/>
              </w:rPr>
            </w:pPr>
            <w:r>
              <w:rPr>
                <w:rFonts w:cs="微软雅黑" w:asciiTheme="minorEastAsia" w:hAnsiTheme="minorEastAsia"/>
                <w:sz w:val="24"/>
                <w:szCs w:val="24"/>
              </w:rPr>
              <w:t>管理</w:t>
            </w:r>
          </w:p>
        </w:tc>
        <w:tc>
          <w:tcPr>
            <w:tcW w:w="958" w:type="dxa"/>
            <w:tcBorders>
              <w:top w:val="nil"/>
              <w:left w:val="single" w:color="000000" w:sz="6" w:space="0"/>
              <w:bottom w:val="single" w:color="000000" w:sz="6" w:space="0"/>
              <w:right w:val="single" w:color="000000" w:sz="6" w:space="0"/>
            </w:tcBorders>
          </w:tcPr>
          <w:p>
            <w:pPr>
              <w:pStyle w:val="26"/>
              <w:spacing w:line="360" w:lineRule="auto"/>
              <w:ind w:left="-1" w:firstLine="480"/>
              <w:rPr>
                <w:rFonts w:cs="微软雅黑" w:asciiTheme="minorEastAsia" w:hAnsiTheme="minorEastAsia"/>
                <w:sz w:val="24"/>
                <w:szCs w:val="24"/>
              </w:rPr>
            </w:pPr>
            <w:r>
              <w:rPr>
                <w:rFonts w:cs="微软雅黑" w:asciiTheme="minorEastAsia" w:hAnsiTheme="minorEastAsia"/>
                <w:sz w:val="24"/>
                <w:szCs w:val="24"/>
              </w:rPr>
              <w:t>协调</w:t>
            </w:r>
          </w:p>
        </w:tc>
      </w:tr>
      <w:tr>
        <w:tblPrEx>
          <w:tblCellMar>
            <w:top w:w="0" w:type="dxa"/>
            <w:left w:w="0" w:type="dxa"/>
            <w:bottom w:w="0" w:type="dxa"/>
            <w:right w:w="0" w:type="dxa"/>
          </w:tblCellMar>
        </w:tblPrEx>
        <w:trPr>
          <w:trHeight w:val="482" w:hRule="exact"/>
        </w:trPr>
        <w:tc>
          <w:tcPr>
            <w:tcW w:w="1320" w:type="dxa"/>
            <w:tcBorders>
              <w:top w:val="single" w:color="000000" w:sz="6" w:space="0"/>
              <w:left w:val="single" w:color="000000" w:sz="6" w:space="0"/>
              <w:bottom w:val="single" w:color="000000" w:sz="6" w:space="0"/>
              <w:right w:val="single" w:color="000000" w:sz="6" w:space="0"/>
            </w:tcBorders>
          </w:tcPr>
          <w:p>
            <w:pPr>
              <w:pStyle w:val="26"/>
              <w:spacing w:line="360" w:lineRule="auto"/>
              <w:ind w:left="411" w:firstLine="480"/>
              <w:rPr>
                <w:rFonts w:cs="微软雅黑" w:asciiTheme="minorEastAsia" w:hAnsiTheme="minorEastAsia"/>
                <w:sz w:val="24"/>
                <w:szCs w:val="24"/>
              </w:rPr>
            </w:pPr>
            <w:r>
              <w:rPr>
                <w:rFonts w:cs="微软雅黑" w:asciiTheme="minorEastAsia" w:hAnsiTheme="minorEastAsia"/>
                <w:sz w:val="24"/>
                <w:szCs w:val="24"/>
              </w:rPr>
              <w:t>准备</w:t>
            </w:r>
          </w:p>
        </w:tc>
        <w:tc>
          <w:tcPr>
            <w:tcW w:w="910"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878"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950"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869"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869"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905"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958"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r>
      <w:tr>
        <w:tblPrEx>
          <w:tblCellMar>
            <w:top w:w="0" w:type="dxa"/>
            <w:left w:w="0" w:type="dxa"/>
            <w:bottom w:w="0" w:type="dxa"/>
            <w:right w:w="0" w:type="dxa"/>
          </w:tblCellMar>
        </w:tblPrEx>
        <w:trPr>
          <w:trHeight w:val="480" w:hRule="exact"/>
        </w:trPr>
        <w:tc>
          <w:tcPr>
            <w:tcW w:w="1320" w:type="dxa"/>
            <w:tcBorders>
              <w:top w:val="single" w:color="000000" w:sz="6" w:space="0"/>
              <w:left w:val="single" w:color="000000" w:sz="6" w:space="0"/>
              <w:bottom w:val="single" w:color="000000" w:sz="6" w:space="0"/>
              <w:right w:val="single" w:color="000000" w:sz="6" w:space="0"/>
            </w:tcBorders>
          </w:tcPr>
          <w:p>
            <w:pPr>
              <w:pStyle w:val="26"/>
              <w:spacing w:line="360" w:lineRule="auto"/>
              <w:ind w:left="411" w:firstLine="480"/>
              <w:rPr>
                <w:rFonts w:cs="微软雅黑" w:asciiTheme="minorEastAsia" w:hAnsiTheme="minorEastAsia"/>
                <w:sz w:val="24"/>
                <w:szCs w:val="24"/>
              </w:rPr>
            </w:pPr>
            <w:r>
              <w:rPr>
                <w:rFonts w:cs="微软雅黑" w:asciiTheme="minorEastAsia" w:hAnsiTheme="minorEastAsia"/>
                <w:sz w:val="24"/>
                <w:szCs w:val="24"/>
              </w:rPr>
              <w:t>实施</w:t>
            </w:r>
          </w:p>
        </w:tc>
        <w:tc>
          <w:tcPr>
            <w:tcW w:w="910"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878"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950"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869"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869"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905"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958"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r>
      <w:tr>
        <w:tblPrEx>
          <w:tblCellMar>
            <w:top w:w="0" w:type="dxa"/>
            <w:left w:w="0" w:type="dxa"/>
            <w:bottom w:w="0" w:type="dxa"/>
            <w:right w:w="0" w:type="dxa"/>
          </w:tblCellMar>
        </w:tblPrEx>
        <w:trPr>
          <w:trHeight w:val="482" w:hRule="exact"/>
        </w:trPr>
        <w:tc>
          <w:tcPr>
            <w:tcW w:w="1320" w:type="dxa"/>
            <w:tcBorders>
              <w:top w:val="single" w:color="000000" w:sz="6" w:space="0"/>
              <w:left w:val="single" w:color="000000" w:sz="6" w:space="0"/>
              <w:bottom w:val="single" w:color="000000" w:sz="6" w:space="0"/>
              <w:right w:val="single" w:color="000000" w:sz="6" w:space="0"/>
            </w:tcBorders>
          </w:tcPr>
          <w:p>
            <w:pPr>
              <w:pStyle w:val="26"/>
              <w:spacing w:line="360" w:lineRule="auto"/>
              <w:ind w:left="411" w:firstLine="480"/>
              <w:rPr>
                <w:rFonts w:cs="微软雅黑" w:asciiTheme="minorEastAsia" w:hAnsiTheme="minorEastAsia"/>
                <w:sz w:val="24"/>
                <w:szCs w:val="24"/>
              </w:rPr>
            </w:pPr>
            <w:r>
              <w:rPr>
                <w:rFonts w:cs="微软雅黑" w:asciiTheme="minorEastAsia" w:hAnsiTheme="minorEastAsia"/>
                <w:sz w:val="24"/>
                <w:szCs w:val="24"/>
              </w:rPr>
              <w:t>测试</w:t>
            </w:r>
          </w:p>
        </w:tc>
        <w:tc>
          <w:tcPr>
            <w:tcW w:w="910"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878"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950"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869"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869"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905"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958"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r>
      <w:tr>
        <w:tblPrEx>
          <w:tblCellMar>
            <w:top w:w="0" w:type="dxa"/>
            <w:left w:w="0" w:type="dxa"/>
            <w:bottom w:w="0" w:type="dxa"/>
            <w:right w:w="0" w:type="dxa"/>
          </w:tblCellMar>
        </w:tblPrEx>
        <w:trPr>
          <w:trHeight w:val="482" w:hRule="exact"/>
        </w:trPr>
        <w:tc>
          <w:tcPr>
            <w:tcW w:w="1320" w:type="dxa"/>
            <w:tcBorders>
              <w:top w:val="single" w:color="000000" w:sz="6" w:space="0"/>
              <w:left w:val="single" w:color="000000" w:sz="6" w:space="0"/>
              <w:bottom w:val="single" w:color="000000" w:sz="6" w:space="0"/>
              <w:right w:val="single" w:color="000000" w:sz="6" w:space="0"/>
            </w:tcBorders>
          </w:tcPr>
          <w:p>
            <w:pPr>
              <w:pStyle w:val="26"/>
              <w:spacing w:line="360" w:lineRule="auto"/>
              <w:ind w:left="411" w:firstLine="480"/>
              <w:rPr>
                <w:rFonts w:cs="微软雅黑" w:asciiTheme="minorEastAsia" w:hAnsiTheme="minorEastAsia"/>
                <w:sz w:val="24"/>
                <w:szCs w:val="24"/>
              </w:rPr>
            </w:pPr>
            <w:r>
              <w:rPr>
                <w:rFonts w:cs="微软雅黑" w:asciiTheme="minorEastAsia" w:hAnsiTheme="minorEastAsia"/>
                <w:sz w:val="24"/>
                <w:szCs w:val="24"/>
              </w:rPr>
              <w:t>验收</w:t>
            </w:r>
          </w:p>
        </w:tc>
        <w:tc>
          <w:tcPr>
            <w:tcW w:w="910"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878"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950"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869"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869"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905"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c>
          <w:tcPr>
            <w:tcW w:w="958" w:type="dxa"/>
            <w:tcBorders>
              <w:top w:val="single" w:color="000000" w:sz="6" w:space="0"/>
              <w:left w:val="single" w:color="000000" w:sz="6" w:space="0"/>
              <w:bottom w:val="single" w:color="000000" w:sz="6" w:space="0"/>
              <w:right w:val="single" w:color="000000" w:sz="6" w:space="0"/>
            </w:tcBorders>
          </w:tcPr>
          <w:p>
            <w:pPr>
              <w:pStyle w:val="26"/>
              <w:spacing w:line="360" w:lineRule="auto"/>
              <w:ind w:left="-1" w:firstLine="383"/>
              <w:rPr>
                <w:rFonts w:cs="方正宋体-人口信息" w:asciiTheme="minorEastAsia" w:hAnsiTheme="minorEastAsia"/>
                <w:sz w:val="24"/>
                <w:szCs w:val="24"/>
              </w:rPr>
            </w:pPr>
            <w:r>
              <w:rPr>
                <w:rFonts w:cs="方正宋体-人口信息" w:asciiTheme="minorEastAsia" w:hAnsiTheme="minorEastAsia"/>
                <w:w w:val="80"/>
                <w:sz w:val="24"/>
                <w:szCs w:val="24"/>
              </w:rPr>
              <w:t></w:t>
            </w:r>
            <w:r>
              <w:rPr>
                <w:rFonts w:hint="eastAsia" w:cs="方正宋体-人口信息" w:asciiTheme="minorEastAsia" w:hAnsiTheme="minorEastAsia"/>
                <w:w w:val="80"/>
                <w:sz w:val="24"/>
                <w:szCs w:val="24"/>
                <w:lang w:eastAsia="zh-CN"/>
              </w:rPr>
              <w:t>√</w:t>
            </w:r>
          </w:p>
        </w:tc>
      </w:tr>
    </w:tbl>
    <w:p>
      <w:pPr>
        <w:pStyle w:val="4"/>
        <w:spacing w:line="360" w:lineRule="auto"/>
        <w:ind w:left="151" w:leftChars="72" w:right="-325" w:rightChars="-155"/>
        <w:rPr>
          <w:rFonts w:asciiTheme="minorEastAsia" w:hAnsiTheme="minorEastAsia" w:eastAsiaTheme="minorEastAsia"/>
        </w:rPr>
      </w:pPr>
      <w:r>
        <w:rPr>
          <w:rFonts w:asciiTheme="minorEastAsia" w:hAnsiTheme="minorEastAsia" w:eastAsiaTheme="minorEastAsia"/>
        </w:rPr>
        <w:t>投标</w:t>
      </w:r>
      <w:r>
        <w:rPr>
          <w:rFonts w:asciiTheme="minorEastAsia" w:hAnsiTheme="minorEastAsia" w:eastAsiaTheme="minorEastAsia"/>
          <w:spacing w:val="-1"/>
        </w:rPr>
        <w:t>人</w:t>
      </w:r>
      <w:r>
        <w:rPr>
          <w:rFonts w:asciiTheme="minorEastAsia" w:hAnsiTheme="minorEastAsia" w:eastAsiaTheme="minorEastAsia"/>
        </w:rPr>
        <w:t>应在保证其客观性和公正性的基础上</w:t>
      </w:r>
      <w:r>
        <w:rPr>
          <w:rFonts w:asciiTheme="minorEastAsia" w:hAnsiTheme="minorEastAsia" w:eastAsiaTheme="minorEastAsia"/>
          <w:spacing w:val="-24"/>
        </w:rPr>
        <w:t>，</w:t>
      </w:r>
      <w:r>
        <w:rPr>
          <w:rFonts w:asciiTheme="minorEastAsia" w:hAnsiTheme="minorEastAsia" w:eastAsiaTheme="minorEastAsia"/>
        </w:rPr>
        <w:t>按照合同的要求和有关规范</w:t>
      </w:r>
      <w:r>
        <w:rPr>
          <w:rFonts w:asciiTheme="minorEastAsia" w:hAnsiTheme="minorEastAsia" w:eastAsiaTheme="minorEastAsia"/>
          <w:spacing w:val="-24"/>
        </w:rPr>
        <w:t>，</w:t>
      </w:r>
      <w:r>
        <w:rPr>
          <w:rFonts w:asciiTheme="minorEastAsia" w:hAnsiTheme="minorEastAsia" w:eastAsiaTheme="minorEastAsia"/>
        </w:rPr>
        <w:t>对信息系统建设的规范性</w:t>
      </w:r>
      <w:r>
        <w:rPr>
          <w:rFonts w:asciiTheme="minorEastAsia" w:hAnsiTheme="minorEastAsia" w:eastAsiaTheme="minorEastAsia"/>
          <w:spacing w:val="-44"/>
        </w:rPr>
        <w:t>、</w:t>
      </w:r>
      <w:r>
        <w:rPr>
          <w:rFonts w:asciiTheme="minorEastAsia" w:hAnsiTheme="minorEastAsia" w:eastAsiaTheme="minorEastAsia"/>
        </w:rPr>
        <w:t>可靠性</w:t>
      </w:r>
      <w:r>
        <w:rPr>
          <w:rFonts w:asciiTheme="minorEastAsia" w:hAnsiTheme="minorEastAsia" w:eastAsiaTheme="minorEastAsia"/>
          <w:spacing w:val="-44"/>
        </w:rPr>
        <w:t>、</w:t>
      </w:r>
      <w:r>
        <w:rPr>
          <w:rFonts w:asciiTheme="minorEastAsia" w:hAnsiTheme="minorEastAsia" w:eastAsiaTheme="minorEastAsia"/>
        </w:rPr>
        <w:t>高效性</w:t>
      </w:r>
      <w:r>
        <w:rPr>
          <w:rFonts w:asciiTheme="minorEastAsia" w:hAnsiTheme="minorEastAsia" w:eastAsiaTheme="minorEastAsia"/>
          <w:spacing w:val="-44"/>
        </w:rPr>
        <w:t>、</w:t>
      </w:r>
      <w:r>
        <w:rPr>
          <w:rFonts w:asciiTheme="minorEastAsia" w:hAnsiTheme="minorEastAsia" w:eastAsiaTheme="minorEastAsia"/>
        </w:rPr>
        <w:t>用户</w:t>
      </w:r>
      <w:r>
        <w:rPr>
          <w:rFonts w:asciiTheme="minorEastAsia" w:hAnsiTheme="minorEastAsia" w:eastAsiaTheme="minorEastAsia"/>
          <w:spacing w:val="2"/>
        </w:rPr>
        <w:t>满</w:t>
      </w:r>
      <w:r>
        <w:rPr>
          <w:rFonts w:asciiTheme="minorEastAsia" w:hAnsiTheme="minorEastAsia" w:eastAsiaTheme="minorEastAsia"/>
          <w:spacing w:val="1"/>
        </w:rPr>
        <w:t>意</w:t>
      </w:r>
      <w:r>
        <w:rPr>
          <w:rFonts w:asciiTheme="minorEastAsia" w:hAnsiTheme="minorEastAsia" w:eastAsiaTheme="minorEastAsia"/>
        </w:rPr>
        <w:t>度等方面进行全面的监督</w:t>
      </w:r>
      <w:r>
        <w:rPr>
          <w:rFonts w:asciiTheme="minorEastAsia" w:hAnsiTheme="minorEastAsia" w:eastAsiaTheme="minorEastAsia"/>
          <w:spacing w:val="-44"/>
        </w:rPr>
        <w:t>、</w:t>
      </w:r>
      <w:r>
        <w:rPr>
          <w:rFonts w:asciiTheme="minorEastAsia" w:hAnsiTheme="minorEastAsia" w:eastAsiaTheme="minorEastAsia"/>
        </w:rPr>
        <w:t>控制和评估。</w:t>
      </w:r>
    </w:p>
    <w:p>
      <w:pPr>
        <w:pStyle w:val="4"/>
        <w:spacing w:before="56" w:line="360" w:lineRule="auto"/>
        <w:outlineLvl w:val="0"/>
        <w:rPr>
          <w:rFonts w:asciiTheme="minorEastAsia" w:hAnsiTheme="minorEastAsia" w:eastAsiaTheme="minorEastAsia"/>
        </w:rPr>
      </w:pPr>
      <w:r>
        <w:rPr>
          <w:rFonts w:cs="Arial" w:asciiTheme="minorEastAsia" w:hAnsiTheme="minorEastAsia" w:eastAsiaTheme="minorEastAsia"/>
          <w:spacing w:val="1"/>
        </w:rPr>
        <w:t>2</w:t>
      </w:r>
      <w:r>
        <w:rPr>
          <w:rFonts w:cs="Arial" w:asciiTheme="minorEastAsia" w:hAnsiTheme="minorEastAsia" w:eastAsiaTheme="minorEastAsia"/>
        </w:rPr>
        <w:t>.5</w:t>
      </w:r>
      <w:r>
        <w:rPr>
          <w:rFonts w:cs="Arial" w:asciiTheme="minorEastAsia" w:hAnsiTheme="minorEastAsia" w:eastAsiaTheme="minorEastAsia"/>
          <w:spacing w:val="19"/>
        </w:rPr>
        <w:t xml:space="preserve"> </w:t>
      </w:r>
      <w:r>
        <w:rPr>
          <w:rFonts w:asciiTheme="minorEastAsia" w:hAnsiTheme="minorEastAsia" w:eastAsiaTheme="minorEastAsia"/>
        </w:rPr>
        <w:t>监理</w:t>
      </w:r>
      <w:r>
        <w:rPr>
          <w:rFonts w:asciiTheme="minorEastAsia" w:hAnsiTheme="minorEastAsia" w:eastAsiaTheme="minorEastAsia"/>
          <w:spacing w:val="2"/>
        </w:rPr>
        <w:t>机</w:t>
      </w:r>
      <w:r>
        <w:rPr>
          <w:rFonts w:asciiTheme="minorEastAsia" w:hAnsiTheme="minorEastAsia" w:eastAsiaTheme="minorEastAsia"/>
        </w:rPr>
        <w:t>构</w:t>
      </w:r>
      <w:r>
        <w:rPr>
          <w:rFonts w:asciiTheme="minorEastAsia" w:hAnsiTheme="minorEastAsia" w:eastAsiaTheme="minorEastAsia"/>
          <w:spacing w:val="2"/>
        </w:rPr>
        <w:t>提</w:t>
      </w:r>
      <w:r>
        <w:rPr>
          <w:rFonts w:asciiTheme="minorEastAsia" w:hAnsiTheme="minorEastAsia" w:eastAsiaTheme="minorEastAsia"/>
        </w:rPr>
        <w:t>供的信</w:t>
      </w:r>
      <w:r>
        <w:rPr>
          <w:rFonts w:asciiTheme="minorEastAsia" w:hAnsiTheme="minorEastAsia" w:eastAsiaTheme="minorEastAsia"/>
          <w:spacing w:val="2"/>
        </w:rPr>
        <w:t>息</w:t>
      </w:r>
      <w:r>
        <w:rPr>
          <w:rFonts w:asciiTheme="minorEastAsia" w:hAnsiTheme="minorEastAsia" w:eastAsiaTheme="minorEastAsia"/>
        </w:rPr>
        <w:t>和</w:t>
      </w:r>
      <w:r>
        <w:rPr>
          <w:rFonts w:asciiTheme="minorEastAsia" w:hAnsiTheme="minorEastAsia" w:eastAsiaTheme="minorEastAsia"/>
          <w:spacing w:val="2"/>
        </w:rPr>
        <w:t>文</w:t>
      </w:r>
      <w:r>
        <w:rPr>
          <w:rFonts w:asciiTheme="minorEastAsia" w:hAnsiTheme="minorEastAsia" w:eastAsiaTheme="minorEastAsia"/>
        </w:rPr>
        <w:t>件</w:t>
      </w:r>
    </w:p>
    <w:p>
      <w:pPr>
        <w:pStyle w:val="4"/>
        <w:spacing w:before="58" w:line="360" w:lineRule="auto"/>
        <w:ind w:left="151" w:leftChars="72" w:right="204" w:rightChars="97"/>
        <w:rPr>
          <w:rFonts w:asciiTheme="minorEastAsia" w:hAnsiTheme="minorEastAsia" w:eastAsiaTheme="minorEastAsia"/>
        </w:rPr>
      </w:pPr>
      <w:r>
        <w:rPr>
          <w:rFonts w:cs="Arial" w:asciiTheme="minorEastAsia" w:hAnsiTheme="minorEastAsia" w:eastAsiaTheme="minorEastAsia"/>
        </w:rPr>
        <w:t>1</w:t>
      </w:r>
      <w:r>
        <w:rPr>
          <w:rFonts w:cs="Arial" w:asciiTheme="minorEastAsia" w:hAnsiTheme="minorEastAsia" w:eastAsiaTheme="minorEastAsia"/>
          <w:spacing w:val="-1"/>
        </w:rPr>
        <w:t>.</w:t>
      </w:r>
      <w:r>
        <w:rPr>
          <w:rFonts w:asciiTheme="minorEastAsia" w:hAnsiTheme="minorEastAsia" w:eastAsiaTheme="minorEastAsia"/>
        </w:rPr>
        <w:t xml:space="preserve">定期的信息文件——监理月报 </w:t>
      </w:r>
    </w:p>
    <w:p>
      <w:pPr>
        <w:pStyle w:val="4"/>
        <w:spacing w:before="58" w:line="360" w:lineRule="auto"/>
        <w:ind w:left="151" w:leftChars="72" w:right="204" w:rightChars="97"/>
        <w:rPr>
          <w:rFonts w:asciiTheme="minorEastAsia" w:hAnsiTheme="minorEastAsia" w:eastAsiaTheme="minorEastAsia"/>
        </w:rPr>
      </w:pPr>
      <w:r>
        <w:rPr>
          <w:rFonts w:asciiTheme="minorEastAsia" w:hAnsiTheme="minorEastAsia" w:eastAsiaTheme="minorEastAsia"/>
        </w:rPr>
        <w:t xml:space="preserve">监理月报的主要内容： </w:t>
      </w:r>
    </w:p>
    <w:p>
      <w:pPr>
        <w:pStyle w:val="4"/>
        <w:spacing w:before="58" w:line="360" w:lineRule="auto"/>
        <w:ind w:left="571" w:leftChars="272" w:right="204" w:rightChars="97"/>
        <w:rPr>
          <w:rFonts w:asciiTheme="minorEastAsia" w:hAnsiTheme="minorEastAsia" w:eastAsiaTheme="minorEastAsia"/>
        </w:rPr>
      </w:pPr>
      <w:r>
        <w:rPr>
          <w:rFonts w:asciiTheme="minorEastAsia" w:hAnsiTheme="minorEastAsia" w:eastAsiaTheme="minorEastAsia"/>
        </w:rPr>
        <w:t>项目概述：</w:t>
      </w:r>
    </w:p>
    <w:p>
      <w:pPr>
        <w:pStyle w:val="4"/>
        <w:spacing w:before="58" w:line="360" w:lineRule="auto"/>
        <w:ind w:left="571" w:leftChars="272" w:right="204" w:rightChars="97"/>
        <w:rPr>
          <w:rFonts w:asciiTheme="minorEastAsia" w:hAnsiTheme="minorEastAsia" w:eastAsiaTheme="minorEastAsia"/>
        </w:rPr>
      </w:pPr>
      <w:r>
        <w:rPr>
          <w:rFonts w:asciiTheme="minorEastAsia" w:hAnsiTheme="minorEastAsia" w:eastAsiaTheme="minorEastAsia"/>
        </w:rPr>
        <w:t>包括监理内容名称及合同情况简介</w:t>
      </w:r>
      <w:r>
        <w:rPr>
          <w:rFonts w:hint="eastAsia" w:asciiTheme="minorEastAsia" w:hAnsiTheme="minorEastAsia" w:eastAsiaTheme="minorEastAsia"/>
        </w:rPr>
        <w:t>；</w:t>
      </w:r>
    </w:p>
    <w:p>
      <w:pPr>
        <w:pStyle w:val="4"/>
        <w:spacing w:before="58" w:line="360" w:lineRule="auto"/>
        <w:ind w:left="571" w:leftChars="272" w:right="204" w:rightChars="97"/>
        <w:rPr>
          <w:rFonts w:asciiTheme="minorEastAsia" w:hAnsiTheme="minorEastAsia" w:eastAsiaTheme="minorEastAsia"/>
        </w:rPr>
      </w:pPr>
      <w:r>
        <w:rPr>
          <w:rFonts w:asciiTheme="minorEastAsia" w:hAnsiTheme="minorEastAsia" w:eastAsiaTheme="minorEastAsia"/>
        </w:rPr>
        <w:t>项目大事记</w:t>
      </w:r>
      <w:r>
        <w:rPr>
          <w:rFonts w:hint="eastAsia" w:asciiTheme="minorEastAsia" w:hAnsiTheme="minorEastAsia" w:eastAsiaTheme="minorEastAsia"/>
        </w:rPr>
        <w:t>；</w:t>
      </w:r>
    </w:p>
    <w:p>
      <w:pPr>
        <w:pStyle w:val="4"/>
        <w:spacing w:before="58" w:line="360" w:lineRule="auto"/>
        <w:ind w:left="571" w:leftChars="272" w:right="204" w:rightChars="97"/>
        <w:rPr>
          <w:rFonts w:asciiTheme="minorEastAsia" w:hAnsiTheme="minorEastAsia" w:eastAsiaTheme="minorEastAsia"/>
        </w:rPr>
      </w:pPr>
      <w:r>
        <w:rPr>
          <w:rFonts w:asciiTheme="minorEastAsia" w:hAnsiTheme="minorEastAsia" w:eastAsiaTheme="minorEastAsia"/>
        </w:rPr>
        <w:t>实施进度与主要情况</w:t>
      </w:r>
      <w:r>
        <w:rPr>
          <w:rFonts w:hint="eastAsia" w:asciiTheme="minorEastAsia" w:hAnsiTheme="minorEastAsia" w:eastAsiaTheme="minorEastAsia"/>
        </w:rPr>
        <w:t>；</w:t>
      </w:r>
    </w:p>
    <w:p>
      <w:pPr>
        <w:pStyle w:val="4"/>
        <w:spacing w:before="58" w:line="360" w:lineRule="auto"/>
        <w:ind w:left="571" w:leftChars="272" w:right="204" w:rightChars="97"/>
        <w:rPr>
          <w:rFonts w:asciiTheme="minorEastAsia" w:hAnsiTheme="minorEastAsia" w:eastAsiaTheme="minorEastAsia"/>
        </w:rPr>
      </w:pPr>
      <w:r>
        <w:rPr>
          <w:rFonts w:asciiTheme="minorEastAsia" w:hAnsiTheme="minorEastAsia" w:eastAsiaTheme="minorEastAsia"/>
        </w:rPr>
        <w:t>资金使用情况。</w:t>
      </w:r>
    </w:p>
    <w:p>
      <w:pPr>
        <w:pStyle w:val="4"/>
        <w:spacing w:before="58" w:line="360" w:lineRule="auto"/>
        <w:ind w:left="571" w:leftChars="272" w:right="204" w:rightChars="97"/>
        <w:rPr>
          <w:rFonts w:asciiTheme="minorEastAsia" w:hAnsiTheme="minorEastAsia" w:eastAsiaTheme="minorEastAsia"/>
        </w:rPr>
      </w:pPr>
      <w:r>
        <w:rPr>
          <w:rFonts w:asciiTheme="minorEastAsia" w:hAnsiTheme="minorEastAsia" w:eastAsiaTheme="minorEastAsia"/>
        </w:rPr>
        <w:t xml:space="preserve">质量控制：包括质量评定、质量分析、质量事故处理等情况。 </w:t>
      </w:r>
    </w:p>
    <w:p>
      <w:pPr>
        <w:pStyle w:val="4"/>
        <w:spacing w:before="58" w:line="360" w:lineRule="auto"/>
        <w:ind w:left="571" w:leftChars="272" w:right="204" w:rightChars="97"/>
        <w:rPr>
          <w:rFonts w:asciiTheme="minorEastAsia" w:hAnsiTheme="minorEastAsia" w:eastAsiaTheme="minorEastAsia"/>
        </w:rPr>
      </w:pPr>
      <w:r>
        <w:rPr>
          <w:rFonts w:asciiTheme="minorEastAsia" w:hAnsiTheme="minorEastAsia" w:eastAsiaTheme="minorEastAsia"/>
        </w:rPr>
        <w:t xml:space="preserve">合同执行情况：包括合同变更、索赔和违约等。 </w:t>
      </w:r>
    </w:p>
    <w:p>
      <w:pPr>
        <w:pStyle w:val="4"/>
        <w:spacing w:before="58" w:line="360" w:lineRule="auto"/>
        <w:ind w:left="571" w:leftChars="272" w:right="204" w:rightChars="97"/>
        <w:rPr>
          <w:rFonts w:asciiTheme="minorEastAsia" w:hAnsiTheme="minorEastAsia" w:eastAsiaTheme="minorEastAsia"/>
        </w:rPr>
      </w:pPr>
      <w:r>
        <w:rPr>
          <w:rFonts w:asciiTheme="minorEastAsia" w:hAnsiTheme="minorEastAsia" w:eastAsiaTheme="minorEastAsia"/>
        </w:rPr>
        <w:t xml:space="preserve">现场会议和往来信函：包括监理会议纪要、往来信函。 </w:t>
      </w:r>
    </w:p>
    <w:p>
      <w:pPr>
        <w:pStyle w:val="4"/>
        <w:spacing w:before="58" w:line="360" w:lineRule="auto"/>
        <w:ind w:left="571" w:leftChars="272" w:right="204" w:rightChars="97"/>
        <w:rPr>
          <w:rFonts w:asciiTheme="minorEastAsia" w:hAnsiTheme="minorEastAsia" w:eastAsiaTheme="minorEastAsia"/>
        </w:rPr>
      </w:pPr>
      <w:r>
        <w:rPr>
          <w:rFonts w:asciiTheme="minorEastAsia" w:hAnsiTheme="minorEastAsia" w:eastAsiaTheme="minorEastAsia"/>
        </w:rPr>
        <w:t xml:space="preserve">监理工作：包括监理组织框图、资源投入、重要监理活动、文件资料审查、发放、方案审查、工程需要解决的问题和其他事项。 </w:t>
      </w:r>
    </w:p>
    <w:p>
      <w:pPr>
        <w:pStyle w:val="4"/>
        <w:spacing w:before="58" w:line="360" w:lineRule="auto"/>
        <w:ind w:left="571" w:leftChars="272" w:right="204" w:rightChars="97"/>
        <w:rPr>
          <w:rFonts w:asciiTheme="minorEastAsia" w:hAnsiTheme="minorEastAsia" w:eastAsiaTheme="minorEastAsia"/>
        </w:rPr>
      </w:pPr>
      <w:r>
        <w:rPr>
          <w:rFonts w:asciiTheme="minorEastAsia" w:hAnsiTheme="minorEastAsia" w:eastAsiaTheme="minorEastAsia"/>
        </w:rPr>
        <w:t xml:space="preserve">施工单位情况：包括人员的投入情况，项目进展情况、设备供货及安装情况。 </w:t>
      </w:r>
    </w:p>
    <w:p>
      <w:pPr>
        <w:pStyle w:val="4"/>
        <w:spacing w:before="58" w:line="360" w:lineRule="auto"/>
        <w:ind w:left="151" w:leftChars="72" w:right="204" w:rightChars="97"/>
        <w:rPr>
          <w:rFonts w:asciiTheme="minorEastAsia" w:hAnsiTheme="minorEastAsia" w:eastAsiaTheme="minorEastAsia"/>
        </w:rPr>
      </w:pPr>
      <w:r>
        <w:rPr>
          <w:rFonts w:asciiTheme="minorEastAsia" w:hAnsiTheme="minorEastAsia" w:eastAsiaTheme="minorEastAsia"/>
        </w:rPr>
        <w:t>2.不定期的监理工作报告</w:t>
      </w:r>
    </w:p>
    <w:p>
      <w:pPr>
        <w:pStyle w:val="4"/>
        <w:spacing w:before="58" w:line="360" w:lineRule="auto"/>
        <w:ind w:left="571" w:leftChars="272" w:right="204" w:rightChars="97"/>
        <w:rPr>
          <w:rFonts w:asciiTheme="minorEastAsia" w:hAnsiTheme="minorEastAsia" w:eastAsiaTheme="minorEastAsia"/>
        </w:rPr>
      </w:pPr>
      <w:r>
        <w:rPr>
          <w:rFonts w:asciiTheme="minorEastAsia" w:hAnsiTheme="minorEastAsia" w:eastAsiaTheme="minorEastAsia"/>
        </w:rPr>
        <w:t>各类监理审核意见。</w:t>
      </w:r>
    </w:p>
    <w:p>
      <w:pPr>
        <w:pStyle w:val="4"/>
        <w:spacing w:before="58" w:line="360" w:lineRule="auto"/>
        <w:ind w:left="571" w:leftChars="272" w:right="204" w:rightChars="97"/>
        <w:rPr>
          <w:rFonts w:asciiTheme="minorEastAsia" w:hAnsiTheme="minorEastAsia" w:eastAsiaTheme="minorEastAsia"/>
        </w:rPr>
      </w:pPr>
      <w:r>
        <w:rPr>
          <w:rFonts w:asciiTheme="minorEastAsia" w:hAnsiTheme="minorEastAsia" w:eastAsiaTheme="minorEastAsia"/>
        </w:rPr>
        <w:t xml:space="preserve">监理建议。 </w:t>
      </w:r>
    </w:p>
    <w:p>
      <w:pPr>
        <w:pStyle w:val="4"/>
        <w:spacing w:before="58" w:line="360" w:lineRule="auto"/>
        <w:ind w:left="571" w:leftChars="272" w:right="204" w:rightChars="97"/>
        <w:rPr>
          <w:rFonts w:asciiTheme="minorEastAsia" w:hAnsiTheme="minorEastAsia" w:eastAsiaTheme="minorEastAsia"/>
        </w:rPr>
      </w:pPr>
      <w:r>
        <w:rPr>
          <w:rFonts w:asciiTheme="minorEastAsia" w:hAnsiTheme="minorEastAsia" w:eastAsiaTheme="minorEastAsia"/>
        </w:rPr>
        <w:t>工程进度分析报告。</w:t>
      </w:r>
    </w:p>
    <w:p>
      <w:pPr>
        <w:pStyle w:val="4"/>
        <w:spacing w:before="58" w:line="360" w:lineRule="auto"/>
        <w:ind w:left="151" w:leftChars="72" w:right="204" w:rightChars="97"/>
        <w:rPr>
          <w:rFonts w:asciiTheme="minorEastAsia" w:hAnsiTheme="minorEastAsia" w:eastAsiaTheme="minorEastAsia"/>
        </w:rPr>
      </w:pPr>
      <w:r>
        <w:rPr>
          <w:rFonts w:asciiTheme="minorEastAsia" w:hAnsiTheme="minorEastAsia" w:eastAsiaTheme="minorEastAsia"/>
        </w:rPr>
        <w:t xml:space="preserve">3.日常监理文件 </w:t>
      </w:r>
    </w:p>
    <w:p>
      <w:pPr>
        <w:pStyle w:val="4"/>
        <w:spacing w:before="58" w:line="360" w:lineRule="auto"/>
        <w:ind w:left="571" w:leftChars="272" w:right="204" w:rightChars="97"/>
        <w:rPr>
          <w:rFonts w:asciiTheme="minorEastAsia" w:hAnsiTheme="minorEastAsia" w:eastAsiaTheme="minorEastAsia"/>
        </w:rPr>
      </w:pPr>
      <w:r>
        <w:rPr>
          <w:rFonts w:asciiTheme="minorEastAsia" w:hAnsiTheme="minorEastAsia" w:eastAsiaTheme="minorEastAsia"/>
        </w:rPr>
        <w:t>监理会议纪要文件。</w:t>
      </w:r>
    </w:p>
    <w:p>
      <w:pPr>
        <w:pStyle w:val="4"/>
        <w:spacing w:before="11" w:line="360" w:lineRule="auto"/>
        <w:ind w:left="142" w:right="39" w:hanging="24"/>
        <w:outlineLvl w:val="0"/>
        <w:rPr>
          <w:rFonts w:asciiTheme="minorEastAsia" w:hAnsiTheme="minorEastAsia" w:eastAsiaTheme="minorEastAsia"/>
        </w:rPr>
      </w:pPr>
      <w:r>
        <w:rPr>
          <w:rFonts w:cs="Arial" w:asciiTheme="minorEastAsia" w:hAnsiTheme="minorEastAsia" w:eastAsiaTheme="minorEastAsia"/>
          <w:spacing w:val="1"/>
        </w:rPr>
        <w:t>2</w:t>
      </w:r>
      <w:r>
        <w:rPr>
          <w:rFonts w:cs="Arial" w:asciiTheme="minorEastAsia" w:hAnsiTheme="minorEastAsia" w:eastAsiaTheme="minorEastAsia"/>
        </w:rPr>
        <w:t xml:space="preserve">.6 </w:t>
      </w:r>
      <w:r>
        <w:rPr>
          <w:rFonts w:cs="Arial" w:asciiTheme="minorEastAsia" w:hAnsiTheme="minorEastAsia" w:eastAsiaTheme="minorEastAsia"/>
          <w:spacing w:val="12"/>
        </w:rPr>
        <w:t xml:space="preserve"> </w:t>
      </w:r>
      <w:r>
        <w:rPr>
          <w:rFonts w:asciiTheme="minorEastAsia" w:hAnsiTheme="minorEastAsia" w:eastAsiaTheme="minorEastAsia"/>
        </w:rPr>
        <w:t>监</w:t>
      </w:r>
      <w:r>
        <w:rPr>
          <w:rFonts w:asciiTheme="minorEastAsia" w:hAnsiTheme="minorEastAsia" w:eastAsiaTheme="minorEastAsia"/>
          <w:spacing w:val="2"/>
        </w:rPr>
        <w:t>理</w:t>
      </w:r>
      <w:r>
        <w:rPr>
          <w:rFonts w:asciiTheme="minorEastAsia" w:hAnsiTheme="minorEastAsia" w:eastAsiaTheme="minorEastAsia"/>
        </w:rPr>
        <w:t>工作</w:t>
      </w:r>
      <w:r>
        <w:rPr>
          <w:rFonts w:asciiTheme="minorEastAsia" w:hAnsiTheme="minorEastAsia" w:eastAsiaTheme="minorEastAsia"/>
          <w:spacing w:val="2"/>
        </w:rPr>
        <w:t>内</w:t>
      </w:r>
      <w:r>
        <w:rPr>
          <w:rFonts w:asciiTheme="minorEastAsia" w:hAnsiTheme="minorEastAsia" w:eastAsiaTheme="minorEastAsia"/>
        </w:rPr>
        <w:t xml:space="preserve">容 </w:t>
      </w:r>
    </w:p>
    <w:p>
      <w:pPr>
        <w:pStyle w:val="4"/>
        <w:spacing w:before="11" w:line="360" w:lineRule="auto"/>
        <w:ind w:left="142" w:right="39" w:firstLine="278"/>
        <w:rPr>
          <w:rFonts w:asciiTheme="minorEastAsia" w:hAnsiTheme="minorEastAsia" w:eastAsiaTheme="minorEastAsia"/>
        </w:rPr>
      </w:pPr>
      <w:r>
        <w:rPr>
          <w:rFonts w:asciiTheme="minorEastAsia" w:hAnsiTheme="minorEastAsia" w:eastAsiaTheme="minorEastAsia"/>
        </w:rPr>
        <w:t>在本信息系统建设工作中</w:t>
      </w:r>
      <w:r>
        <w:rPr>
          <w:rFonts w:asciiTheme="minorEastAsia" w:hAnsiTheme="minorEastAsia" w:eastAsiaTheme="minorEastAsia"/>
          <w:spacing w:val="-17"/>
        </w:rPr>
        <w:t>，</w:t>
      </w:r>
      <w:r>
        <w:rPr>
          <w:rFonts w:asciiTheme="minorEastAsia" w:hAnsiTheme="minorEastAsia" w:eastAsiaTheme="minorEastAsia"/>
        </w:rPr>
        <w:t>引入项目监理管理机制</w:t>
      </w:r>
      <w:r>
        <w:rPr>
          <w:rFonts w:asciiTheme="minorEastAsia" w:hAnsiTheme="minorEastAsia" w:eastAsiaTheme="minorEastAsia"/>
          <w:spacing w:val="-17"/>
        </w:rPr>
        <w:t>，</w:t>
      </w:r>
      <w:r>
        <w:rPr>
          <w:rFonts w:asciiTheme="minorEastAsia" w:hAnsiTheme="minorEastAsia" w:eastAsiaTheme="minorEastAsia"/>
        </w:rPr>
        <w:t>利用信息监理专业化知识</w:t>
      </w:r>
      <w:r>
        <w:rPr>
          <w:rFonts w:asciiTheme="minorEastAsia" w:hAnsiTheme="minorEastAsia" w:eastAsiaTheme="minorEastAsia"/>
          <w:spacing w:val="-17"/>
        </w:rPr>
        <w:t>，</w:t>
      </w:r>
      <w:r>
        <w:rPr>
          <w:rFonts w:asciiTheme="minorEastAsia" w:hAnsiTheme="minorEastAsia" w:eastAsiaTheme="minorEastAsia"/>
        </w:rPr>
        <w:t>发挥监督</w:t>
      </w:r>
      <w:r>
        <w:rPr>
          <w:rFonts w:asciiTheme="minorEastAsia" w:hAnsiTheme="minorEastAsia" w:eastAsiaTheme="minorEastAsia"/>
          <w:spacing w:val="-10"/>
        </w:rPr>
        <w:t>、</w:t>
      </w:r>
      <w:r>
        <w:rPr>
          <w:rFonts w:asciiTheme="minorEastAsia" w:hAnsiTheme="minorEastAsia" w:eastAsiaTheme="minorEastAsia"/>
        </w:rPr>
        <w:t>控制</w:t>
      </w:r>
      <w:r>
        <w:rPr>
          <w:rFonts w:asciiTheme="minorEastAsia" w:hAnsiTheme="minorEastAsia" w:eastAsiaTheme="minorEastAsia"/>
          <w:spacing w:val="-10"/>
        </w:rPr>
        <w:t>、</w:t>
      </w:r>
      <w:r>
        <w:rPr>
          <w:rFonts w:asciiTheme="minorEastAsia" w:hAnsiTheme="minorEastAsia" w:eastAsiaTheme="minorEastAsia"/>
        </w:rPr>
        <w:t>协调</w:t>
      </w:r>
      <w:r>
        <w:rPr>
          <w:rFonts w:asciiTheme="minorEastAsia" w:hAnsiTheme="minorEastAsia" w:eastAsiaTheme="minorEastAsia"/>
          <w:spacing w:val="-10"/>
        </w:rPr>
        <w:t>、</w:t>
      </w:r>
      <w:r>
        <w:rPr>
          <w:rFonts w:asciiTheme="minorEastAsia" w:hAnsiTheme="minorEastAsia" w:eastAsiaTheme="minorEastAsia"/>
        </w:rPr>
        <w:t>管理等职能作用</w:t>
      </w:r>
      <w:r>
        <w:rPr>
          <w:rFonts w:asciiTheme="minorEastAsia" w:hAnsiTheme="minorEastAsia" w:eastAsiaTheme="minorEastAsia"/>
          <w:spacing w:val="-10"/>
        </w:rPr>
        <w:t>，</w:t>
      </w:r>
      <w:r>
        <w:rPr>
          <w:rFonts w:asciiTheme="minorEastAsia" w:hAnsiTheme="minorEastAsia" w:eastAsiaTheme="minorEastAsia"/>
        </w:rPr>
        <w:t>积极协调密切配合信息化运维公司工作</w:t>
      </w:r>
      <w:r>
        <w:rPr>
          <w:rFonts w:asciiTheme="minorEastAsia" w:hAnsiTheme="minorEastAsia" w:eastAsiaTheme="minorEastAsia"/>
          <w:spacing w:val="-10"/>
        </w:rPr>
        <w:t>，</w:t>
      </w:r>
      <w:r>
        <w:rPr>
          <w:rFonts w:asciiTheme="minorEastAsia" w:hAnsiTheme="minorEastAsia" w:eastAsiaTheme="minorEastAsia"/>
        </w:rPr>
        <w:t>确保</w:t>
      </w:r>
      <w:r>
        <w:rPr>
          <w:rFonts w:asciiTheme="minorEastAsia" w:hAnsiTheme="minorEastAsia" w:eastAsiaTheme="minorEastAsia"/>
          <w:spacing w:val="2"/>
        </w:rPr>
        <w:t>为各项工作提</w:t>
      </w:r>
      <w:r>
        <w:rPr>
          <w:rFonts w:asciiTheme="minorEastAsia" w:hAnsiTheme="minorEastAsia" w:eastAsiaTheme="minorEastAsia"/>
        </w:rPr>
        <w:t>供</w:t>
      </w:r>
      <w:r>
        <w:rPr>
          <w:rFonts w:asciiTheme="minorEastAsia" w:hAnsiTheme="minorEastAsia" w:eastAsiaTheme="minorEastAsia"/>
          <w:spacing w:val="2"/>
        </w:rPr>
        <w:t>可应</w:t>
      </w:r>
      <w:r>
        <w:rPr>
          <w:rFonts w:asciiTheme="minorEastAsia" w:hAnsiTheme="minorEastAsia" w:eastAsiaTheme="minorEastAsia"/>
        </w:rPr>
        <w:t>用</w:t>
      </w:r>
      <w:r>
        <w:rPr>
          <w:rFonts w:asciiTheme="minorEastAsia" w:hAnsiTheme="minorEastAsia" w:eastAsiaTheme="minorEastAsia"/>
          <w:spacing w:val="2"/>
        </w:rPr>
        <w:t>、可量化、可</w:t>
      </w:r>
      <w:r>
        <w:rPr>
          <w:rFonts w:asciiTheme="minorEastAsia" w:hAnsiTheme="minorEastAsia" w:eastAsiaTheme="minorEastAsia"/>
        </w:rPr>
        <w:t>管</w:t>
      </w:r>
      <w:r>
        <w:rPr>
          <w:rFonts w:asciiTheme="minorEastAsia" w:hAnsiTheme="minorEastAsia" w:eastAsiaTheme="minorEastAsia"/>
          <w:spacing w:val="2"/>
        </w:rPr>
        <w:t>理、</w:t>
      </w:r>
      <w:r>
        <w:rPr>
          <w:rFonts w:asciiTheme="minorEastAsia" w:hAnsiTheme="minorEastAsia" w:eastAsiaTheme="minorEastAsia"/>
        </w:rPr>
        <w:t>可</w:t>
      </w:r>
      <w:r>
        <w:rPr>
          <w:rFonts w:asciiTheme="minorEastAsia" w:hAnsiTheme="minorEastAsia" w:eastAsiaTheme="minorEastAsia"/>
          <w:spacing w:val="2"/>
        </w:rPr>
        <w:t>评估的“信息</w:t>
      </w:r>
      <w:r>
        <w:rPr>
          <w:rFonts w:asciiTheme="minorEastAsia" w:hAnsiTheme="minorEastAsia" w:eastAsiaTheme="minorEastAsia"/>
        </w:rPr>
        <w:t>服</w:t>
      </w:r>
      <w:r>
        <w:rPr>
          <w:rFonts w:asciiTheme="minorEastAsia" w:hAnsiTheme="minorEastAsia" w:eastAsiaTheme="minorEastAsia"/>
          <w:spacing w:val="2"/>
        </w:rPr>
        <w:t>务产</w:t>
      </w:r>
      <w:r>
        <w:rPr>
          <w:rFonts w:asciiTheme="minorEastAsia" w:hAnsiTheme="minorEastAsia" w:eastAsiaTheme="minorEastAsia"/>
        </w:rPr>
        <w:t>品</w:t>
      </w:r>
      <w:r>
        <w:rPr>
          <w:rFonts w:asciiTheme="minorEastAsia" w:hAnsiTheme="minorEastAsia" w:eastAsiaTheme="minorEastAsia"/>
          <w:spacing w:val="-118"/>
        </w:rPr>
        <w:t>”</w:t>
      </w:r>
      <w:r>
        <w:rPr>
          <w:rFonts w:asciiTheme="minorEastAsia" w:hAnsiTheme="minorEastAsia" w:eastAsiaTheme="minorEastAsia"/>
          <w:spacing w:val="2"/>
        </w:rPr>
        <w:t>。主要侧重做</w:t>
      </w:r>
      <w:r>
        <w:rPr>
          <w:rFonts w:asciiTheme="minorEastAsia" w:hAnsiTheme="minorEastAsia" w:eastAsiaTheme="minorEastAsia"/>
        </w:rPr>
        <w:t>好以下工作：</w:t>
      </w:r>
    </w:p>
    <w:p>
      <w:pPr>
        <w:pStyle w:val="4"/>
        <w:spacing w:before="11" w:line="360" w:lineRule="auto"/>
        <w:ind w:right="3628"/>
        <w:outlineLvl w:val="0"/>
        <w:rPr>
          <w:rFonts w:asciiTheme="minorEastAsia" w:hAnsiTheme="minorEastAsia" w:eastAsiaTheme="minorEastAsia"/>
        </w:rPr>
      </w:pPr>
      <w:r>
        <w:rPr>
          <w:rFonts w:cs="Arial" w:asciiTheme="minorEastAsia" w:hAnsiTheme="minorEastAsia" w:eastAsiaTheme="minorEastAsia"/>
          <w:w w:val="105"/>
        </w:rPr>
        <w:t>1.</w:t>
      </w:r>
      <w:r>
        <w:rPr>
          <w:rFonts w:cs="Arial" w:asciiTheme="minorEastAsia" w:hAnsiTheme="minorEastAsia" w:eastAsiaTheme="minorEastAsia"/>
          <w:spacing w:val="29"/>
          <w:w w:val="105"/>
        </w:rPr>
        <w:t xml:space="preserve"> </w:t>
      </w:r>
      <w:r>
        <w:rPr>
          <w:rFonts w:asciiTheme="minorEastAsia" w:hAnsiTheme="minorEastAsia" w:eastAsiaTheme="minorEastAsia"/>
          <w:w w:val="105"/>
        </w:rPr>
        <w:t>质量控制</w:t>
      </w:r>
      <w:r>
        <w:rPr>
          <w:rFonts w:asciiTheme="minorEastAsia" w:hAnsiTheme="minorEastAsia" w:eastAsiaTheme="minorEastAsia"/>
        </w:rPr>
        <w:t xml:space="preserve"> </w:t>
      </w:r>
    </w:p>
    <w:p>
      <w:pPr>
        <w:pStyle w:val="4"/>
        <w:spacing w:before="11" w:line="360" w:lineRule="auto"/>
        <w:ind w:right="5032"/>
        <w:rPr>
          <w:rFonts w:asciiTheme="minorEastAsia" w:hAnsiTheme="minorEastAsia" w:eastAsiaTheme="minorEastAsia"/>
        </w:rPr>
      </w:pPr>
      <w:r>
        <w:rPr>
          <w:rFonts w:asciiTheme="minorEastAsia" w:hAnsiTheme="minorEastAsia" w:eastAsiaTheme="minorEastAsia"/>
          <w:spacing w:val="2"/>
        </w:rPr>
        <w:t>系</w:t>
      </w:r>
      <w:r>
        <w:rPr>
          <w:rFonts w:asciiTheme="minorEastAsia" w:hAnsiTheme="minorEastAsia" w:eastAsiaTheme="minorEastAsia"/>
        </w:rPr>
        <w:t>统</w:t>
      </w:r>
      <w:r>
        <w:rPr>
          <w:rFonts w:asciiTheme="minorEastAsia" w:hAnsiTheme="minorEastAsia" w:eastAsiaTheme="minorEastAsia"/>
          <w:spacing w:val="2"/>
        </w:rPr>
        <w:t>集</w:t>
      </w:r>
      <w:r>
        <w:rPr>
          <w:rFonts w:asciiTheme="minorEastAsia" w:hAnsiTheme="minorEastAsia" w:eastAsiaTheme="minorEastAsia"/>
        </w:rPr>
        <w:t>成质</w:t>
      </w:r>
      <w:r>
        <w:rPr>
          <w:rFonts w:asciiTheme="minorEastAsia" w:hAnsiTheme="minorEastAsia" w:eastAsiaTheme="minorEastAsia"/>
          <w:spacing w:val="2"/>
        </w:rPr>
        <w:t>量</w:t>
      </w:r>
      <w:r>
        <w:rPr>
          <w:rFonts w:asciiTheme="minorEastAsia" w:hAnsiTheme="minorEastAsia" w:eastAsiaTheme="minorEastAsia"/>
        </w:rPr>
        <w:t>的</w:t>
      </w:r>
      <w:r>
        <w:rPr>
          <w:rFonts w:asciiTheme="minorEastAsia" w:hAnsiTheme="minorEastAsia" w:eastAsiaTheme="minorEastAsia"/>
          <w:spacing w:val="2"/>
        </w:rPr>
        <w:t>控</w:t>
      </w:r>
      <w:r>
        <w:rPr>
          <w:rFonts w:asciiTheme="minorEastAsia" w:hAnsiTheme="minorEastAsia" w:eastAsiaTheme="minorEastAsia"/>
        </w:rPr>
        <w:t>制</w:t>
      </w:r>
    </w:p>
    <w:p>
      <w:pPr>
        <w:pStyle w:val="4"/>
        <w:spacing w:before="10" w:line="360" w:lineRule="auto"/>
        <w:ind w:left="533" w:leftChars="254"/>
        <w:rPr>
          <w:rFonts w:asciiTheme="minorEastAsia" w:hAnsiTheme="minorEastAsia" w:eastAsiaTheme="minorEastAsia"/>
        </w:rPr>
      </w:pPr>
      <w:r>
        <w:rPr>
          <w:rFonts w:asciiTheme="minorEastAsia" w:hAnsiTheme="minorEastAsia" w:eastAsiaTheme="minorEastAsia"/>
        </w:rPr>
        <w:t>①组织系统集成方案的审核和确认；</w:t>
      </w:r>
    </w:p>
    <w:p>
      <w:pPr>
        <w:pStyle w:val="4"/>
        <w:spacing w:before="59" w:line="360" w:lineRule="auto"/>
        <w:ind w:left="533" w:leftChars="254"/>
        <w:rPr>
          <w:rFonts w:asciiTheme="minorEastAsia" w:hAnsiTheme="minorEastAsia" w:eastAsiaTheme="minorEastAsia"/>
        </w:rPr>
      </w:pPr>
      <w:r>
        <w:rPr>
          <w:rFonts w:asciiTheme="minorEastAsia" w:hAnsiTheme="minorEastAsia" w:eastAsiaTheme="minorEastAsia"/>
        </w:rPr>
        <w:t>②组织审核关键设备、系统软件选型方案，协助系统集成商和建设方进行选型；</w:t>
      </w:r>
    </w:p>
    <w:p>
      <w:pPr>
        <w:pStyle w:val="4"/>
        <w:spacing w:before="56" w:line="360" w:lineRule="auto"/>
        <w:ind w:left="533" w:leftChars="254"/>
        <w:rPr>
          <w:rFonts w:asciiTheme="minorEastAsia" w:hAnsiTheme="minorEastAsia" w:eastAsiaTheme="minorEastAsia"/>
        </w:rPr>
      </w:pPr>
      <w:r>
        <w:rPr>
          <w:rFonts w:asciiTheme="minorEastAsia" w:hAnsiTheme="minorEastAsia" w:eastAsiaTheme="minorEastAsia"/>
        </w:rPr>
        <w:t>③组织对采购的硬件设备的质量进行检验、测试和验收；</w:t>
      </w:r>
    </w:p>
    <w:p>
      <w:pPr>
        <w:pStyle w:val="4"/>
        <w:spacing w:before="56" w:line="360" w:lineRule="auto"/>
        <w:ind w:left="533" w:leftChars="254"/>
        <w:rPr>
          <w:rFonts w:asciiTheme="minorEastAsia" w:hAnsiTheme="minorEastAsia" w:eastAsiaTheme="minorEastAsia"/>
        </w:rPr>
      </w:pPr>
      <w:r>
        <w:rPr>
          <w:rFonts w:asciiTheme="minorEastAsia" w:hAnsiTheme="minorEastAsia" w:eastAsiaTheme="minorEastAsia"/>
        </w:rPr>
        <w:t>④组织对设备安装、系统软件的安装调试进行验收；</w:t>
      </w:r>
    </w:p>
    <w:p>
      <w:pPr>
        <w:pStyle w:val="4"/>
        <w:spacing w:before="56" w:line="360" w:lineRule="auto"/>
        <w:ind w:left="533" w:leftChars="254" w:right="-588" w:rightChars="-280"/>
        <w:rPr>
          <w:rFonts w:asciiTheme="minorEastAsia" w:hAnsiTheme="minorEastAsia" w:eastAsiaTheme="minorEastAsia"/>
        </w:rPr>
      </w:pPr>
      <w:r>
        <w:rPr>
          <w:rFonts w:asciiTheme="minorEastAsia" w:hAnsiTheme="minorEastAsia" w:eastAsiaTheme="minorEastAsia"/>
        </w:rPr>
        <w:t xml:space="preserve">⑤经建设方委托组织对系统集成进行总体验收。 </w:t>
      </w:r>
    </w:p>
    <w:p>
      <w:pPr>
        <w:pStyle w:val="4"/>
        <w:spacing w:before="56" w:line="360" w:lineRule="auto"/>
        <w:ind w:right="-616"/>
        <w:rPr>
          <w:rFonts w:asciiTheme="minorEastAsia" w:hAnsiTheme="minorEastAsia" w:eastAsiaTheme="minorEastAsia"/>
        </w:rPr>
      </w:pPr>
      <w:r>
        <w:rPr>
          <w:rFonts w:asciiTheme="minorEastAsia" w:hAnsiTheme="minorEastAsia" w:eastAsiaTheme="minorEastAsia"/>
          <w:spacing w:val="2"/>
        </w:rPr>
        <w:t>应</w:t>
      </w:r>
      <w:r>
        <w:rPr>
          <w:rFonts w:asciiTheme="minorEastAsia" w:hAnsiTheme="minorEastAsia" w:eastAsiaTheme="minorEastAsia"/>
        </w:rPr>
        <w:t>用</w:t>
      </w:r>
      <w:r>
        <w:rPr>
          <w:rFonts w:asciiTheme="minorEastAsia" w:hAnsiTheme="minorEastAsia" w:eastAsiaTheme="minorEastAsia"/>
          <w:spacing w:val="2"/>
        </w:rPr>
        <w:t>软</w:t>
      </w:r>
      <w:r>
        <w:rPr>
          <w:rFonts w:asciiTheme="minorEastAsia" w:hAnsiTheme="minorEastAsia" w:eastAsiaTheme="minorEastAsia"/>
        </w:rPr>
        <w:t>件开</w:t>
      </w:r>
      <w:r>
        <w:rPr>
          <w:rFonts w:asciiTheme="minorEastAsia" w:hAnsiTheme="minorEastAsia" w:eastAsiaTheme="minorEastAsia"/>
          <w:spacing w:val="2"/>
        </w:rPr>
        <w:t>发</w:t>
      </w:r>
      <w:r>
        <w:rPr>
          <w:rFonts w:asciiTheme="minorEastAsia" w:hAnsiTheme="minorEastAsia" w:eastAsiaTheme="minorEastAsia"/>
        </w:rPr>
        <w:t>及</w:t>
      </w:r>
      <w:r>
        <w:rPr>
          <w:rFonts w:asciiTheme="minorEastAsia" w:hAnsiTheme="minorEastAsia" w:eastAsiaTheme="minorEastAsia"/>
          <w:spacing w:val="2"/>
        </w:rPr>
        <w:t>数</w:t>
      </w:r>
      <w:r>
        <w:rPr>
          <w:rFonts w:asciiTheme="minorEastAsia" w:hAnsiTheme="minorEastAsia" w:eastAsiaTheme="minorEastAsia"/>
        </w:rPr>
        <w:t>据加</w:t>
      </w:r>
      <w:r>
        <w:rPr>
          <w:rFonts w:asciiTheme="minorEastAsia" w:hAnsiTheme="minorEastAsia" w:eastAsiaTheme="minorEastAsia"/>
          <w:spacing w:val="2"/>
        </w:rPr>
        <w:t>工</w:t>
      </w:r>
      <w:r>
        <w:rPr>
          <w:rFonts w:asciiTheme="minorEastAsia" w:hAnsiTheme="minorEastAsia" w:eastAsiaTheme="minorEastAsia"/>
        </w:rPr>
        <w:t>质</w:t>
      </w:r>
      <w:r>
        <w:rPr>
          <w:rFonts w:asciiTheme="minorEastAsia" w:hAnsiTheme="minorEastAsia" w:eastAsiaTheme="minorEastAsia"/>
          <w:spacing w:val="2"/>
        </w:rPr>
        <w:t>量</w:t>
      </w:r>
      <w:r>
        <w:rPr>
          <w:rFonts w:asciiTheme="minorEastAsia" w:hAnsiTheme="minorEastAsia" w:eastAsiaTheme="minorEastAsia"/>
        </w:rPr>
        <w:t>的控制</w:t>
      </w:r>
    </w:p>
    <w:p>
      <w:pPr>
        <w:pStyle w:val="4"/>
        <w:spacing w:before="10" w:line="360" w:lineRule="auto"/>
        <w:ind w:left="420" w:leftChars="200"/>
        <w:rPr>
          <w:rFonts w:asciiTheme="minorEastAsia" w:hAnsiTheme="minorEastAsia" w:eastAsiaTheme="minorEastAsia"/>
        </w:rPr>
      </w:pPr>
      <w:r>
        <w:rPr>
          <w:rFonts w:asciiTheme="minorEastAsia" w:hAnsiTheme="minorEastAsia" w:eastAsiaTheme="minorEastAsia"/>
        </w:rPr>
        <w:t>①组织对软件需求分析</w:t>
      </w:r>
      <w:r>
        <w:rPr>
          <w:rFonts w:asciiTheme="minorEastAsia" w:hAnsiTheme="minorEastAsia" w:eastAsiaTheme="minorEastAsia"/>
          <w:spacing w:val="-12"/>
        </w:rPr>
        <w:t>、</w:t>
      </w:r>
      <w:r>
        <w:rPr>
          <w:rFonts w:asciiTheme="minorEastAsia" w:hAnsiTheme="minorEastAsia" w:eastAsiaTheme="minorEastAsia"/>
        </w:rPr>
        <w:t>软件设计</w:t>
      </w:r>
      <w:r>
        <w:rPr>
          <w:rFonts w:asciiTheme="minorEastAsia" w:hAnsiTheme="minorEastAsia" w:eastAsiaTheme="minorEastAsia"/>
          <w:spacing w:val="-12"/>
        </w:rPr>
        <w:t>、</w:t>
      </w:r>
      <w:r>
        <w:rPr>
          <w:rFonts w:asciiTheme="minorEastAsia" w:hAnsiTheme="minorEastAsia" w:eastAsiaTheme="minorEastAsia"/>
        </w:rPr>
        <w:t>测试</w:t>
      </w:r>
      <w:r>
        <w:rPr>
          <w:rFonts w:asciiTheme="minorEastAsia" w:hAnsiTheme="minorEastAsia" w:eastAsiaTheme="minorEastAsia"/>
          <w:spacing w:val="-12"/>
        </w:rPr>
        <w:t>、</w:t>
      </w:r>
      <w:r>
        <w:rPr>
          <w:rFonts w:asciiTheme="minorEastAsia" w:hAnsiTheme="minorEastAsia" w:eastAsiaTheme="minorEastAsia"/>
          <w:spacing w:val="-3"/>
        </w:rPr>
        <w:t>验</w:t>
      </w:r>
      <w:r>
        <w:rPr>
          <w:rFonts w:asciiTheme="minorEastAsia" w:hAnsiTheme="minorEastAsia" w:eastAsiaTheme="minorEastAsia"/>
        </w:rPr>
        <w:t>证与确认</w:t>
      </w:r>
      <w:r>
        <w:rPr>
          <w:rFonts w:asciiTheme="minorEastAsia" w:hAnsiTheme="minorEastAsia" w:eastAsiaTheme="minorEastAsia"/>
          <w:spacing w:val="-12"/>
        </w:rPr>
        <w:t>、</w:t>
      </w:r>
      <w:r>
        <w:rPr>
          <w:rFonts w:asciiTheme="minorEastAsia" w:hAnsiTheme="minorEastAsia" w:eastAsiaTheme="minorEastAsia"/>
        </w:rPr>
        <w:t>评审和管理等方案的审核和确认；</w:t>
      </w:r>
    </w:p>
    <w:p>
      <w:pPr>
        <w:pStyle w:val="4"/>
        <w:spacing w:before="10" w:line="360" w:lineRule="auto"/>
        <w:ind w:left="420" w:leftChars="200" w:right="2245" w:rightChars="1069"/>
        <w:jc w:val="both"/>
        <w:rPr>
          <w:rFonts w:asciiTheme="minorEastAsia" w:hAnsiTheme="minorEastAsia" w:eastAsiaTheme="minorEastAsia"/>
        </w:rPr>
      </w:pPr>
      <w:r>
        <w:rPr>
          <w:rFonts w:asciiTheme="minorEastAsia" w:hAnsiTheme="minorEastAsia" w:eastAsiaTheme="minorEastAsia"/>
        </w:rPr>
        <w:t>②组织对数据加工方案的审核和确认；</w:t>
      </w:r>
    </w:p>
    <w:p>
      <w:pPr>
        <w:pStyle w:val="4"/>
        <w:spacing w:before="58" w:line="360" w:lineRule="auto"/>
        <w:ind w:left="420" w:leftChars="200"/>
        <w:rPr>
          <w:rFonts w:asciiTheme="minorEastAsia" w:hAnsiTheme="minorEastAsia" w:eastAsiaTheme="minorEastAsia"/>
        </w:rPr>
      </w:pPr>
      <w:r>
        <w:rPr>
          <w:rFonts w:asciiTheme="minorEastAsia" w:hAnsiTheme="minorEastAsia" w:eastAsiaTheme="minorEastAsia"/>
        </w:rPr>
        <w:t>③组织对应用软件开发</w:t>
      </w:r>
      <w:r>
        <w:rPr>
          <w:rFonts w:asciiTheme="minorEastAsia" w:hAnsiTheme="minorEastAsia" w:eastAsiaTheme="minorEastAsia"/>
          <w:spacing w:val="-24"/>
        </w:rPr>
        <w:t>、</w:t>
      </w:r>
      <w:r>
        <w:rPr>
          <w:rFonts w:asciiTheme="minorEastAsia" w:hAnsiTheme="minorEastAsia" w:eastAsiaTheme="minorEastAsia"/>
        </w:rPr>
        <w:t>数据加工</w:t>
      </w:r>
      <w:r>
        <w:rPr>
          <w:rFonts w:asciiTheme="minorEastAsia" w:hAnsiTheme="minorEastAsia" w:eastAsiaTheme="minorEastAsia"/>
          <w:spacing w:val="-24"/>
        </w:rPr>
        <w:t>、</w:t>
      </w:r>
      <w:r>
        <w:rPr>
          <w:rFonts w:asciiTheme="minorEastAsia" w:hAnsiTheme="minorEastAsia" w:eastAsiaTheme="minorEastAsia"/>
        </w:rPr>
        <w:t>系统测</w:t>
      </w:r>
      <w:r>
        <w:rPr>
          <w:rFonts w:asciiTheme="minorEastAsia" w:hAnsiTheme="minorEastAsia" w:eastAsiaTheme="minorEastAsia"/>
          <w:spacing w:val="-3"/>
        </w:rPr>
        <w:t>试</w:t>
      </w:r>
      <w:r>
        <w:rPr>
          <w:rFonts w:asciiTheme="minorEastAsia" w:hAnsiTheme="minorEastAsia" w:eastAsiaTheme="minorEastAsia"/>
        </w:rPr>
        <w:t>联调与系统验收阶段各个开发阶段进行把关；</w:t>
      </w:r>
    </w:p>
    <w:p>
      <w:pPr>
        <w:pStyle w:val="4"/>
        <w:spacing w:before="10" w:line="360" w:lineRule="auto"/>
        <w:ind w:left="420" w:leftChars="200" w:right="2110" w:rightChars="1005"/>
        <w:jc w:val="both"/>
        <w:rPr>
          <w:rFonts w:asciiTheme="minorEastAsia" w:hAnsiTheme="minorEastAsia" w:eastAsiaTheme="minorEastAsia"/>
        </w:rPr>
      </w:pPr>
      <w:r>
        <w:rPr>
          <w:rFonts w:asciiTheme="minorEastAsia" w:hAnsiTheme="minorEastAsia" w:eastAsiaTheme="minorEastAsia"/>
        </w:rPr>
        <w:t>④对承建单位的开发和加工质量记录进行审核；</w:t>
      </w:r>
    </w:p>
    <w:p>
      <w:pPr>
        <w:pStyle w:val="4"/>
        <w:spacing w:before="58" w:line="360" w:lineRule="auto"/>
        <w:ind w:left="420" w:leftChars="200" w:right="-460" w:rightChars="-219"/>
        <w:rPr>
          <w:rFonts w:asciiTheme="minorEastAsia" w:hAnsiTheme="minorEastAsia" w:eastAsiaTheme="minorEastAsia"/>
        </w:rPr>
      </w:pPr>
      <w:r>
        <w:rPr>
          <w:rFonts w:asciiTheme="minorEastAsia" w:hAnsiTheme="minorEastAsia" w:eastAsiaTheme="minorEastAsia"/>
        </w:rPr>
        <w:t>⑤源代码、应用程序、数据及相关文档的移交验收等。</w:t>
      </w:r>
    </w:p>
    <w:p>
      <w:pPr>
        <w:pStyle w:val="4"/>
        <w:spacing w:before="58" w:line="360" w:lineRule="auto"/>
        <w:ind w:right="-460" w:rightChars="-219"/>
        <w:rPr>
          <w:rFonts w:asciiTheme="minorEastAsia" w:hAnsiTheme="minorEastAsia" w:eastAsiaTheme="minorEastAsia"/>
        </w:rPr>
      </w:pPr>
      <w:r>
        <w:rPr>
          <w:rFonts w:asciiTheme="minorEastAsia" w:hAnsiTheme="minorEastAsia" w:eastAsiaTheme="minorEastAsia"/>
        </w:rPr>
        <w:t xml:space="preserve"> </w:t>
      </w:r>
      <w:r>
        <w:rPr>
          <w:rFonts w:asciiTheme="minorEastAsia" w:hAnsiTheme="minorEastAsia" w:eastAsiaTheme="minorEastAsia"/>
          <w:spacing w:val="2"/>
        </w:rPr>
        <w:t>软</w:t>
      </w:r>
      <w:r>
        <w:rPr>
          <w:rFonts w:asciiTheme="minorEastAsia" w:hAnsiTheme="minorEastAsia" w:eastAsiaTheme="minorEastAsia"/>
        </w:rPr>
        <w:t>件</w:t>
      </w:r>
      <w:r>
        <w:rPr>
          <w:rFonts w:asciiTheme="minorEastAsia" w:hAnsiTheme="minorEastAsia" w:eastAsiaTheme="minorEastAsia"/>
          <w:spacing w:val="2"/>
        </w:rPr>
        <w:t>应</w:t>
      </w:r>
      <w:r>
        <w:rPr>
          <w:rFonts w:asciiTheme="minorEastAsia" w:hAnsiTheme="minorEastAsia" w:eastAsiaTheme="minorEastAsia"/>
        </w:rPr>
        <w:t>用培</w:t>
      </w:r>
      <w:r>
        <w:rPr>
          <w:rFonts w:asciiTheme="minorEastAsia" w:hAnsiTheme="minorEastAsia" w:eastAsiaTheme="minorEastAsia"/>
          <w:spacing w:val="2"/>
        </w:rPr>
        <w:t>训</w:t>
      </w:r>
      <w:r>
        <w:rPr>
          <w:rFonts w:asciiTheme="minorEastAsia" w:hAnsiTheme="minorEastAsia" w:eastAsiaTheme="minorEastAsia"/>
        </w:rPr>
        <w:t>的</w:t>
      </w:r>
      <w:r>
        <w:rPr>
          <w:rFonts w:asciiTheme="minorEastAsia" w:hAnsiTheme="minorEastAsia" w:eastAsiaTheme="minorEastAsia"/>
          <w:spacing w:val="2"/>
        </w:rPr>
        <w:t>质</w:t>
      </w:r>
      <w:r>
        <w:rPr>
          <w:rFonts w:asciiTheme="minorEastAsia" w:hAnsiTheme="minorEastAsia" w:eastAsiaTheme="minorEastAsia"/>
        </w:rPr>
        <w:t>量控制</w:t>
      </w:r>
    </w:p>
    <w:p>
      <w:pPr>
        <w:pStyle w:val="4"/>
        <w:spacing w:before="15" w:line="360" w:lineRule="auto"/>
        <w:ind w:left="533" w:leftChars="254" w:right="2650" w:rightChars="1262"/>
        <w:jc w:val="both"/>
        <w:rPr>
          <w:rFonts w:asciiTheme="minorEastAsia" w:hAnsiTheme="minorEastAsia" w:eastAsiaTheme="minorEastAsia"/>
        </w:rPr>
      </w:pPr>
      <w:r>
        <w:rPr>
          <w:rFonts w:asciiTheme="minorEastAsia" w:hAnsiTheme="minorEastAsia" w:eastAsiaTheme="minorEastAsia"/>
        </w:rPr>
        <w:t>①审核确认承建单位的培训计划；</w:t>
      </w:r>
    </w:p>
    <w:p>
      <w:pPr>
        <w:pStyle w:val="4"/>
        <w:spacing w:before="56" w:line="360" w:lineRule="auto"/>
        <w:ind w:left="533" w:leftChars="254" w:right="756" w:rightChars="360"/>
        <w:jc w:val="both"/>
        <w:rPr>
          <w:rFonts w:asciiTheme="minorEastAsia" w:hAnsiTheme="minorEastAsia" w:eastAsiaTheme="minorEastAsia"/>
        </w:rPr>
      </w:pPr>
      <w:r>
        <w:rPr>
          <w:rFonts w:asciiTheme="minorEastAsia" w:hAnsiTheme="minorEastAsia" w:eastAsiaTheme="minorEastAsia"/>
        </w:rPr>
        <w:t>②监督承建单位实施其培训计划，并征求用户的反馈意见；</w:t>
      </w:r>
    </w:p>
    <w:p>
      <w:pPr>
        <w:pStyle w:val="4"/>
        <w:spacing w:before="58" w:line="360" w:lineRule="auto"/>
        <w:ind w:left="533" w:leftChars="254" w:right="2110" w:rightChars="1005"/>
        <w:rPr>
          <w:rFonts w:asciiTheme="minorEastAsia" w:hAnsiTheme="minorEastAsia" w:eastAsiaTheme="minorEastAsia"/>
        </w:rPr>
      </w:pPr>
      <w:r>
        <w:rPr>
          <w:rFonts w:asciiTheme="minorEastAsia" w:hAnsiTheme="minorEastAsia" w:eastAsiaTheme="minorEastAsia"/>
        </w:rPr>
        <w:t xml:space="preserve">③审核确认承建单位的培训总结报告。 </w:t>
      </w:r>
    </w:p>
    <w:p>
      <w:pPr>
        <w:pStyle w:val="4"/>
        <w:spacing w:before="58" w:line="360" w:lineRule="auto"/>
        <w:ind w:right="4918"/>
        <w:outlineLvl w:val="0"/>
        <w:rPr>
          <w:rFonts w:asciiTheme="minorEastAsia" w:hAnsiTheme="minorEastAsia" w:eastAsiaTheme="minorEastAsia"/>
        </w:rPr>
      </w:pPr>
      <w:r>
        <w:rPr>
          <w:rFonts w:cs="Arial" w:asciiTheme="minorEastAsia" w:hAnsiTheme="minorEastAsia" w:eastAsiaTheme="minorEastAsia"/>
          <w:w w:val="105"/>
        </w:rPr>
        <w:t>2.</w:t>
      </w:r>
      <w:r>
        <w:rPr>
          <w:rFonts w:cs="Arial" w:asciiTheme="minorEastAsia" w:hAnsiTheme="minorEastAsia" w:eastAsiaTheme="minorEastAsia"/>
          <w:spacing w:val="29"/>
          <w:w w:val="105"/>
        </w:rPr>
        <w:t xml:space="preserve"> </w:t>
      </w:r>
      <w:r>
        <w:rPr>
          <w:rFonts w:asciiTheme="minorEastAsia" w:hAnsiTheme="minorEastAsia" w:eastAsiaTheme="minorEastAsia"/>
          <w:w w:val="105"/>
        </w:rPr>
        <w:t>进度控制</w:t>
      </w:r>
    </w:p>
    <w:p>
      <w:pPr>
        <w:pStyle w:val="4"/>
        <w:spacing w:before="14" w:line="360" w:lineRule="auto"/>
        <w:ind w:left="533" w:leftChars="254" w:right="1163" w:rightChars="554"/>
        <w:jc w:val="both"/>
        <w:rPr>
          <w:rFonts w:asciiTheme="minorEastAsia" w:hAnsiTheme="minorEastAsia" w:eastAsiaTheme="minorEastAsia"/>
        </w:rPr>
      </w:pPr>
      <w:r>
        <w:rPr>
          <w:rFonts w:asciiTheme="minorEastAsia" w:hAnsiTheme="minorEastAsia" w:eastAsiaTheme="minorEastAsia"/>
        </w:rPr>
        <w:t>①按照建设单位的要求分阶段完成项目目标要求。</w:t>
      </w:r>
    </w:p>
    <w:p>
      <w:pPr>
        <w:pStyle w:val="4"/>
        <w:spacing w:before="56" w:line="360" w:lineRule="auto"/>
        <w:ind w:left="533" w:leftChars="254" w:right="485" w:rightChars="231"/>
        <w:jc w:val="both"/>
        <w:rPr>
          <w:rFonts w:asciiTheme="minorEastAsia" w:hAnsiTheme="minorEastAsia" w:eastAsiaTheme="minorEastAsia"/>
        </w:rPr>
      </w:pPr>
      <w:r>
        <w:rPr>
          <w:rFonts w:asciiTheme="minorEastAsia" w:hAnsiTheme="minorEastAsia" w:eastAsiaTheme="minorEastAsia"/>
        </w:rPr>
        <w:t>②对于信息系统建设过程中的行为和事件进行组织、协调和管理。</w:t>
      </w:r>
    </w:p>
    <w:p>
      <w:pPr>
        <w:pStyle w:val="4"/>
        <w:spacing w:before="58" w:line="360" w:lineRule="auto"/>
        <w:ind w:left="533" w:leftChars="254" w:right="-55" w:rightChars="-26"/>
        <w:jc w:val="both"/>
        <w:rPr>
          <w:rFonts w:asciiTheme="minorEastAsia" w:hAnsiTheme="minorEastAsia" w:eastAsiaTheme="minorEastAsia"/>
        </w:rPr>
      </w:pPr>
      <w:r>
        <w:rPr>
          <w:rFonts w:asciiTheme="minorEastAsia" w:hAnsiTheme="minorEastAsia" w:eastAsiaTheme="minorEastAsia"/>
        </w:rPr>
        <w:t>③配合采购人对项目实施过程中发生的需求变更进行分析、管理和认定；</w:t>
      </w:r>
    </w:p>
    <w:p>
      <w:pPr>
        <w:pStyle w:val="4"/>
        <w:spacing w:before="56" w:line="360" w:lineRule="auto"/>
        <w:ind w:left="533" w:leftChars="254"/>
        <w:rPr>
          <w:rFonts w:asciiTheme="minorEastAsia" w:hAnsiTheme="minorEastAsia" w:eastAsiaTheme="minorEastAsia"/>
        </w:rPr>
      </w:pPr>
      <w:r>
        <w:rPr>
          <w:rFonts w:asciiTheme="minorEastAsia" w:hAnsiTheme="minorEastAsia" w:eastAsiaTheme="minorEastAsia"/>
        </w:rPr>
        <w:t>④当工期目标严重偏离时</w:t>
      </w:r>
      <w:r>
        <w:rPr>
          <w:rFonts w:asciiTheme="minorEastAsia" w:hAnsiTheme="minorEastAsia" w:eastAsiaTheme="minorEastAsia"/>
          <w:spacing w:val="-17"/>
        </w:rPr>
        <w:t>，</w:t>
      </w:r>
      <w:r>
        <w:rPr>
          <w:rFonts w:asciiTheme="minorEastAsia" w:hAnsiTheme="minorEastAsia" w:eastAsiaTheme="minorEastAsia"/>
        </w:rPr>
        <w:t>应及时指出</w:t>
      </w:r>
      <w:r>
        <w:rPr>
          <w:rFonts w:asciiTheme="minorEastAsia" w:hAnsiTheme="minorEastAsia" w:eastAsiaTheme="minorEastAsia"/>
          <w:spacing w:val="-17"/>
        </w:rPr>
        <w:t>，</w:t>
      </w:r>
      <w:r>
        <w:rPr>
          <w:rFonts w:asciiTheme="minorEastAsia" w:hAnsiTheme="minorEastAsia" w:eastAsiaTheme="minorEastAsia"/>
        </w:rPr>
        <w:t>并提出对策建议</w:t>
      </w:r>
      <w:r>
        <w:rPr>
          <w:rFonts w:asciiTheme="minorEastAsia" w:hAnsiTheme="minorEastAsia" w:eastAsiaTheme="minorEastAsia"/>
          <w:spacing w:val="-17"/>
        </w:rPr>
        <w:t>，</w:t>
      </w:r>
      <w:r>
        <w:rPr>
          <w:rFonts w:asciiTheme="minorEastAsia" w:hAnsiTheme="minorEastAsia" w:eastAsiaTheme="minorEastAsia"/>
        </w:rPr>
        <w:t>同时督促承建方尽快采取措施。</w:t>
      </w:r>
    </w:p>
    <w:p>
      <w:pPr>
        <w:pStyle w:val="4"/>
        <w:spacing w:before="10" w:line="360" w:lineRule="auto"/>
        <w:ind w:right="3637"/>
        <w:jc w:val="both"/>
        <w:outlineLvl w:val="0"/>
        <w:rPr>
          <w:rFonts w:asciiTheme="minorEastAsia" w:hAnsiTheme="minorEastAsia" w:eastAsiaTheme="minorEastAsia"/>
        </w:rPr>
      </w:pPr>
      <w:r>
        <w:rPr>
          <w:rFonts w:cs="Arial" w:asciiTheme="minorEastAsia" w:hAnsiTheme="minorEastAsia" w:eastAsiaTheme="minorEastAsia"/>
          <w:w w:val="110"/>
        </w:rPr>
        <w:t>3.</w:t>
      </w:r>
      <w:r>
        <w:rPr>
          <w:rFonts w:cs="Arial" w:asciiTheme="minorEastAsia" w:hAnsiTheme="minorEastAsia" w:eastAsiaTheme="minorEastAsia"/>
          <w:spacing w:val="-32"/>
          <w:w w:val="110"/>
        </w:rPr>
        <w:t xml:space="preserve"> </w:t>
      </w:r>
      <w:r>
        <w:rPr>
          <w:rFonts w:asciiTheme="minorEastAsia" w:hAnsiTheme="minorEastAsia" w:eastAsiaTheme="minorEastAsia"/>
          <w:w w:val="110"/>
        </w:rPr>
        <w:t>投资控制</w:t>
      </w:r>
    </w:p>
    <w:p>
      <w:pPr>
        <w:pStyle w:val="4"/>
        <w:spacing w:before="59" w:line="360" w:lineRule="auto"/>
        <w:ind w:left="533" w:leftChars="254" w:right="109" w:rightChars="52"/>
        <w:jc w:val="both"/>
        <w:rPr>
          <w:rFonts w:asciiTheme="minorEastAsia" w:hAnsiTheme="minorEastAsia" w:eastAsiaTheme="minorEastAsia"/>
        </w:rPr>
      </w:pPr>
      <w:r>
        <w:rPr>
          <w:rFonts w:asciiTheme="minorEastAsia" w:hAnsiTheme="minorEastAsia" w:eastAsiaTheme="minorEastAsia"/>
        </w:rPr>
        <w:t>①针对项目过程中的需求变更导致的开发费用</w:t>
      </w:r>
      <w:r>
        <w:rPr>
          <w:rFonts w:asciiTheme="minorEastAsia" w:hAnsiTheme="minorEastAsia" w:eastAsiaTheme="minorEastAsia"/>
          <w:spacing w:val="-24"/>
        </w:rPr>
        <w:t>，</w:t>
      </w:r>
      <w:r>
        <w:rPr>
          <w:rFonts w:asciiTheme="minorEastAsia" w:hAnsiTheme="minorEastAsia" w:eastAsiaTheme="minorEastAsia"/>
        </w:rPr>
        <w:t>审核其合理性</w:t>
      </w:r>
      <w:r>
        <w:rPr>
          <w:rFonts w:asciiTheme="minorEastAsia" w:hAnsiTheme="minorEastAsia" w:eastAsiaTheme="minorEastAsia"/>
          <w:spacing w:val="-24"/>
        </w:rPr>
        <w:t>。</w:t>
      </w:r>
      <w:r>
        <w:rPr>
          <w:rFonts w:asciiTheme="minorEastAsia" w:hAnsiTheme="minorEastAsia" w:eastAsiaTheme="minorEastAsia"/>
        </w:rPr>
        <w:t>通</w:t>
      </w:r>
      <w:r>
        <w:rPr>
          <w:rFonts w:asciiTheme="minorEastAsia" w:hAnsiTheme="minorEastAsia" w:eastAsiaTheme="minorEastAsia"/>
          <w:spacing w:val="-3"/>
        </w:rPr>
        <w:t>过</w:t>
      </w:r>
      <w:r>
        <w:rPr>
          <w:rFonts w:asciiTheme="minorEastAsia" w:hAnsiTheme="minorEastAsia" w:eastAsiaTheme="minorEastAsia"/>
        </w:rPr>
        <w:t>对项目实施中的方 案及设计优化</w:t>
      </w:r>
      <w:r>
        <w:rPr>
          <w:rFonts w:asciiTheme="minorEastAsia" w:hAnsiTheme="minorEastAsia" w:eastAsiaTheme="minorEastAsia"/>
          <w:spacing w:val="-24"/>
        </w:rPr>
        <w:t>，</w:t>
      </w:r>
      <w:r>
        <w:rPr>
          <w:rFonts w:asciiTheme="minorEastAsia" w:hAnsiTheme="minorEastAsia" w:eastAsiaTheme="minorEastAsia"/>
        </w:rPr>
        <w:t>对项目建设不可预见费的开支使用情况进行技术性审核并提出意见</w:t>
      </w:r>
      <w:r>
        <w:rPr>
          <w:rFonts w:asciiTheme="minorEastAsia" w:hAnsiTheme="minorEastAsia" w:eastAsiaTheme="minorEastAsia"/>
          <w:spacing w:val="-24"/>
        </w:rPr>
        <w:t>，</w:t>
      </w:r>
      <w:r>
        <w:rPr>
          <w:rFonts w:asciiTheme="minorEastAsia" w:hAnsiTheme="minorEastAsia" w:eastAsiaTheme="minorEastAsia"/>
        </w:rPr>
        <w:t>确保成本控制在预算之内并尽可能节省经费；</w:t>
      </w:r>
    </w:p>
    <w:p>
      <w:pPr>
        <w:pStyle w:val="4"/>
        <w:spacing w:before="14" w:line="360" w:lineRule="auto"/>
        <w:ind w:left="533" w:leftChars="254" w:right="111" w:rightChars="53"/>
        <w:jc w:val="both"/>
        <w:rPr>
          <w:rFonts w:asciiTheme="minorEastAsia" w:hAnsiTheme="minorEastAsia" w:eastAsiaTheme="minorEastAsia"/>
        </w:rPr>
      </w:pPr>
      <w:r>
        <w:rPr>
          <w:rFonts w:asciiTheme="minorEastAsia" w:hAnsiTheme="minorEastAsia" w:eastAsiaTheme="minorEastAsia"/>
        </w:rPr>
        <w:t>②协助采购人做好项目进度付款前的项目完成量确认</w:t>
      </w:r>
      <w:r>
        <w:rPr>
          <w:rFonts w:asciiTheme="minorEastAsia" w:hAnsiTheme="minorEastAsia" w:eastAsiaTheme="minorEastAsia"/>
          <w:spacing w:val="-51"/>
        </w:rPr>
        <w:t>，</w:t>
      </w:r>
      <w:r>
        <w:rPr>
          <w:rFonts w:asciiTheme="minorEastAsia" w:hAnsiTheme="minorEastAsia" w:eastAsiaTheme="minorEastAsia"/>
        </w:rPr>
        <w:t>将付款进度与项目质量及项目进 度结合起来</w:t>
      </w:r>
      <w:r>
        <w:rPr>
          <w:rFonts w:asciiTheme="minorEastAsia" w:hAnsiTheme="minorEastAsia" w:eastAsiaTheme="minorEastAsia"/>
          <w:spacing w:val="-17"/>
        </w:rPr>
        <w:t>，</w:t>
      </w:r>
      <w:r>
        <w:rPr>
          <w:rFonts w:asciiTheme="minorEastAsia" w:hAnsiTheme="minorEastAsia" w:eastAsiaTheme="minorEastAsia"/>
        </w:rPr>
        <w:t>保证付款的客观性和准确性</w:t>
      </w:r>
      <w:r>
        <w:rPr>
          <w:rFonts w:asciiTheme="minorEastAsia" w:hAnsiTheme="minorEastAsia" w:eastAsiaTheme="minorEastAsia"/>
          <w:spacing w:val="-17"/>
        </w:rPr>
        <w:t>，</w:t>
      </w:r>
      <w:r>
        <w:rPr>
          <w:rFonts w:asciiTheme="minorEastAsia" w:hAnsiTheme="minorEastAsia" w:eastAsiaTheme="minorEastAsia"/>
        </w:rPr>
        <w:t>避免不必要的浪费</w:t>
      </w:r>
      <w:r>
        <w:rPr>
          <w:rFonts w:asciiTheme="minorEastAsia" w:hAnsiTheme="minorEastAsia" w:eastAsiaTheme="minorEastAsia"/>
          <w:spacing w:val="-16"/>
        </w:rPr>
        <w:t>。</w:t>
      </w:r>
      <w:r>
        <w:rPr>
          <w:rFonts w:asciiTheme="minorEastAsia" w:hAnsiTheme="minorEastAsia" w:eastAsiaTheme="minorEastAsia"/>
        </w:rPr>
        <w:t>审核项目中需要的采购方案，协</w:t>
      </w:r>
      <w:r>
        <w:rPr>
          <w:rFonts w:asciiTheme="minorEastAsia" w:hAnsiTheme="minorEastAsia" w:eastAsiaTheme="minorEastAsia"/>
          <w:spacing w:val="-1"/>
        </w:rPr>
        <w:t>助</w:t>
      </w:r>
      <w:r>
        <w:rPr>
          <w:rFonts w:asciiTheme="minorEastAsia" w:hAnsiTheme="minorEastAsia" w:eastAsiaTheme="minorEastAsia"/>
        </w:rPr>
        <w:t>采购人验收采购货物，协助采购人进行资产审查备案。</w:t>
      </w:r>
    </w:p>
    <w:p>
      <w:pPr>
        <w:pStyle w:val="4"/>
        <w:spacing w:before="11" w:line="360" w:lineRule="auto"/>
        <w:ind w:right="3637"/>
        <w:jc w:val="both"/>
        <w:outlineLvl w:val="0"/>
        <w:rPr>
          <w:rFonts w:asciiTheme="minorEastAsia" w:hAnsiTheme="minorEastAsia" w:eastAsiaTheme="minorEastAsia"/>
        </w:rPr>
      </w:pPr>
      <w:r>
        <w:rPr>
          <w:rFonts w:cs="Arial" w:asciiTheme="minorEastAsia" w:hAnsiTheme="minorEastAsia" w:eastAsiaTheme="minorEastAsia"/>
          <w:w w:val="110"/>
        </w:rPr>
        <w:t>4.</w:t>
      </w:r>
      <w:r>
        <w:rPr>
          <w:rFonts w:cs="Arial" w:asciiTheme="minorEastAsia" w:hAnsiTheme="minorEastAsia" w:eastAsiaTheme="minorEastAsia"/>
          <w:spacing w:val="-32"/>
          <w:w w:val="110"/>
        </w:rPr>
        <w:t xml:space="preserve"> </w:t>
      </w:r>
      <w:r>
        <w:rPr>
          <w:rFonts w:asciiTheme="minorEastAsia" w:hAnsiTheme="minorEastAsia" w:eastAsiaTheme="minorEastAsia"/>
          <w:w w:val="110"/>
        </w:rPr>
        <w:t>合同管理</w:t>
      </w:r>
    </w:p>
    <w:p>
      <w:pPr>
        <w:pStyle w:val="4"/>
        <w:spacing w:before="59" w:line="360" w:lineRule="auto"/>
        <w:ind w:left="533" w:leftChars="254" w:right="1298" w:rightChars="618"/>
        <w:jc w:val="both"/>
        <w:rPr>
          <w:rFonts w:asciiTheme="minorEastAsia" w:hAnsiTheme="minorEastAsia" w:eastAsiaTheme="minorEastAsia"/>
        </w:rPr>
      </w:pPr>
      <w:r>
        <w:rPr>
          <w:rFonts w:asciiTheme="minorEastAsia" w:hAnsiTheme="minorEastAsia" w:eastAsiaTheme="minorEastAsia"/>
        </w:rPr>
        <w:t>①跟踪检查合同的执行情况，监督承建方按时履约；</w:t>
      </w:r>
    </w:p>
    <w:p>
      <w:pPr>
        <w:pStyle w:val="4"/>
        <w:spacing w:before="56" w:line="360" w:lineRule="auto"/>
        <w:ind w:left="533" w:leftChars="254" w:right="1163" w:rightChars="554"/>
        <w:jc w:val="both"/>
        <w:rPr>
          <w:rFonts w:asciiTheme="minorEastAsia" w:hAnsiTheme="minorEastAsia" w:eastAsiaTheme="minorEastAsia"/>
        </w:rPr>
      </w:pPr>
      <w:r>
        <w:rPr>
          <w:rFonts w:asciiTheme="minorEastAsia" w:hAnsiTheme="minorEastAsia" w:eastAsiaTheme="minorEastAsia"/>
        </w:rPr>
        <w:t>②对合同工期的延误和延期进行审核确认；</w:t>
      </w:r>
    </w:p>
    <w:p>
      <w:pPr>
        <w:pStyle w:val="4"/>
        <w:spacing w:before="56" w:line="360" w:lineRule="auto"/>
        <w:ind w:left="533" w:leftChars="254" w:right="1163" w:rightChars="554"/>
        <w:jc w:val="both"/>
        <w:rPr>
          <w:rFonts w:asciiTheme="minorEastAsia" w:hAnsiTheme="minorEastAsia" w:eastAsiaTheme="minorEastAsia"/>
        </w:rPr>
      </w:pPr>
      <w:r>
        <w:rPr>
          <w:rFonts w:asciiTheme="minorEastAsia" w:hAnsiTheme="minorEastAsia" w:eastAsiaTheme="minorEastAsia"/>
        </w:rPr>
        <w:t>③对合同变更、索赔等事宜进行审核确认；</w:t>
      </w:r>
    </w:p>
    <w:p>
      <w:pPr>
        <w:pStyle w:val="4"/>
        <w:spacing w:before="56" w:line="360" w:lineRule="auto"/>
        <w:ind w:left="533" w:leftChars="254" w:right="1254" w:rightChars="597"/>
        <w:rPr>
          <w:rFonts w:asciiTheme="minorEastAsia" w:hAnsiTheme="minorEastAsia" w:eastAsiaTheme="minorEastAsia"/>
        </w:rPr>
      </w:pPr>
      <w:r>
        <w:rPr>
          <w:rFonts w:asciiTheme="minorEastAsia" w:hAnsiTheme="minorEastAsia" w:eastAsiaTheme="minorEastAsia"/>
        </w:rPr>
        <w:t xml:space="preserve">④根据合同约定，审核承建方提交的支付申请，签发付款凭证。 </w:t>
      </w:r>
    </w:p>
    <w:p>
      <w:pPr>
        <w:pStyle w:val="4"/>
        <w:spacing w:before="56" w:line="360" w:lineRule="auto"/>
        <w:ind w:right="1314"/>
        <w:rPr>
          <w:rFonts w:asciiTheme="minorEastAsia" w:hAnsiTheme="minorEastAsia" w:eastAsiaTheme="minorEastAsia"/>
        </w:rPr>
      </w:pPr>
      <w:r>
        <w:rPr>
          <w:rFonts w:cs="Arial" w:asciiTheme="minorEastAsia" w:hAnsiTheme="minorEastAsia" w:eastAsiaTheme="minorEastAsia"/>
        </w:rPr>
        <w:t>5.</w:t>
      </w:r>
      <w:r>
        <w:rPr>
          <w:rFonts w:asciiTheme="minorEastAsia" w:hAnsiTheme="minorEastAsia" w:eastAsiaTheme="minorEastAsia"/>
        </w:rPr>
        <w:t>安全控制与管理</w:t>
      </w:r>
    </w:p>
    <w:p>
      <w:pPr>
        <w:pStyle w:val="4"/>
        <w:spacing w:before="10" w:line="360" w:lineRule="auto"/>
        <w:ind w:left="533" w:leftChars="254"/>
        <w:rPr>
          <w:rFonts w:asciiTheme="minorEastAsia" w:hAnsiTheme="minorEastAsia" w:eastAsiaTheme="minorEastAsia"/>
        </w:rPr>
      </w:pPr>
      <w:r>
        <w:rPr>
          <w:rFonts w:asciiTheme="minorEastAsia" w:hAnsiTheme="minorEastAsia" w:eastAsiaTheme="minorEastAsia"/>
        </w:rPr>
        <w:t>①对系统的设计更改、产品测试规范、系统建设过程的的审核确认及监督管理；</w:t>
      </w:r>
    </w:p>
    <w:p>
      <w:pPr>
        <w:pStyle w:val="4"/>
        <w:spacing w:before="58" w:line="360" w:lineRule="auto"/>
        <w:ind w:left="533" w:leftChars="254" w:right="21" w:rightChars="10"/>
        <w:rPr>
          <w:rFonts w:asciiTheme="minorEastAsia" w:hAnsiTheme="minorEastAsia" w:eastAsiaTheme="minorEastAsia"/>
        </w:rPr>
      </w:pPr>
      <w:r>
        <w:rPr>
          <w:rFonts w:asciiTheme="minorEastAsia" w:hAnsiTheme="minorEastAsia" w:eastAsiaTheme="minorEastAsia"/>
        </w:rPr>
        <w:t>②确保各项与验收相关的文档和数据满足验收要求</w:t>
      </w:r>
      <w:r>
        <w:rPr>
          <w:rFonts w:asciiTheme="minorEastAsia" w:hAnsiTheme="minorEastAsia" w:eastAsiaTheme="minorEastAsia"/>
          <w:spacing w:val="-51"/>
        </w:rPr>
        <w:t>，</w:t>
      </w:r>
      <w:r>
        <w:rPr>
          <w:rFonts w:asciiTheme="minorEastAsia" w:hAnsiTheme="minorEastAsia" w:eastAsiaTheme="minorEastAsia"/>
        </w:rPr>
        <w:t>并保证这些文档和数据真实反</w:t>
      </w:r>
      <w:r>
        <w:rPr>
          <w:rFonts w:asciiTheme="minorEastAsia" w:hAnsiTheme="minorEastAsia" w:eastAsiaTheme="minorEastAsia"/>
          <w:spacing w:val="1"/>
        </w:rPr>
        <w:t>映</w:t>
      </w:r>
      <w:r>
        <w:rPr>
          <w:rFonts w:asciiTheme="minorEastAsia" w:hAnsiTheme="minorEastAsia" w:eastAsiaTheme="minorEastAsia"/>
        </w:rPr>
        <w:t>系统建设</w:t>
      </w:r>
      <w:r>
        <w:rPr>
          <w:rFonts w:asciiTheme="minorEastAsia" w:hAnsiTheme="minorEastAsia" w:eastAsiaTheme="minorEastAsia"/>
          <w:spacing w:val="-1"/>
        </w:rPr>
        <w:t>的</w:t>
      </w:r>
      <w:r>
        <w:rPr>
          <w:rFonts w:asciiTheme="minorEastAsia" w:hAnsiTheme="minorEastAsia" w:eastAsiaTheme="minorEastAsia"/>
        </w:rPr>
        <w:t>实际情况；</w:t>
      </w:r>
    </w:p>
    <w:p>
      <w:pPr>
        <w:pStyle w:val="4"/>
        <w:spacing w:before="15" w:line="360" w:lineRule="auto"/>
        <w:ind w:left="533" w:leftChars="254"/>
        <w:rPr>
          <w:rFonts w:asciiTheme="minorEastAsia" w:hAnsiTheme="minorEastAsia" w:eastAsiaTheme="minorEastAsia"/>
        </w:rPr>
      </w:pPr>
      <w:r>
        <w:rPr>
          <w:rFonts w:asciiTheme="minorEastAsia" w:hAnsiTheme="minorEastAsia" w:eastAsiaTheme="minorEastAsia"/>
        </w:rPr>
        <w:t>③保证项</w:t>
      </w:r>
      <w:r>
        <w:rPr>
          <w:rFonts w:asciiTheme="minorEastAsia" w:hAnsiTheme="minorEastAsia" w:eastAsiaTheme="minorEastAsia"/>
          <w:spacing w:val="-1"/>
        </w:rPr>
        <w:t>目</w:t>
      </w:r>
      <w:r>
        <w:rPr>
          <w:rFonts w:asciiTheme="minorEastAsia" w:hAnsiTheme="minorEastAsia" w:eastAsiaTheme="minorEastAsia"/>
        </w:rPr>
        <w:t>过程中的技术文档的准确性</w:t>
      </w:r>
      <w:r>
        <w:rPr>
          <w:rFonts w:hint="eastAsia" w:asciiTheme="minorEastAsia" w:hAnsiTheme="minorEastAsia" w:eastAsiaTheme="minorEastAsia"/>
          <w:spacing w:val="-84"/>
        </w:rPr>
        <w:t>、</w:t>
      </w:r>
      <w:r>
        <w:rPr>
          <w:rFonts w:asciiTheme="minorEastAsia" w:hAnsiTheme="minorEastAsia" w:eastAsiaTheme="minorEastAsia"/>
        </w:rPr>
        <w:t>完整性和详细程度等</w:t>
      </w:r>
      <w:r>
        <w:rPr>
          <w:rFonts w:asciiTheme="minorEastAsia" w:hAnsiTheme="minorEastAsia" w:eastAsiaTheme="minorEastAsia"/>
          <w:spacing w:val="-84"/>
        </w:rPr>
        <w:t>，</w:t>
      </w:r>
      <w:r>
        <w:rPr>
          <w:rFonts w:asciiTheme="minorEastAsia" w:hAnsiTheme="minorEastAsia" w:eastAsiaTheme="minorEastAsia"/>
        </w:rPr>
        <w:t>并对项目文档进行审查、分析。</w:t>
      </w:r>
    </w:p>
    <w:p>
      <w:pPr>
        <w:pStyle w:val="4"/>
        <w:spacing w:before="10" w:line="360" w:lineRule="auto"/>
        <w:outlineLvl w:val="0"/>
        <w:rPr>
          <w:rFonts w:asciiTheme="minorEastAsia" w:hAnsiTheme="minorEastAsia" w:eastAsiaTheme="minorEastAsia"/>
        </w:rPr>
      </w:pPr>
      <w:r>
        <w:rPr>
          <w:rFonts w:cs="Arial" w:asciiTheme="minorEastAsia" w:hAnsiTheme="minorEastAsia" w:eastAsiaTheme="minorEastAsia"/>
          <w:w w:val="110"/>
        </w:rPr>
        <w:t>6.</w:t>
      </w:r>
      <w:r>
        <w:rPr>
          <w:rFonts w:cs="Arial" w:asciiTheme="minorEastAsia" w:hAnsiTheme="minorEastAsia" w:eastAsiaTheme="minorEastAsia"/>
          <w:spacing w:val="-32"/>
          <w:w w:val="110"/>
        </w:rPr>
        <w:t xml:space="preserve"> </w:t>
      </w:r>
      <w:r>
        <w:rPr>
          <w:rFonts w:asciiTheme="minorEastAsia" w:hAnsiTheme="minorEastAsia" w:eastAsiaTheme="minorEastAsia"/>
          <w:w w:val="110"/>
        </w:rPr>
        <w:t>文档管理</w:t>
      </w:r>
    </w:p>
    <w:p>
      <w:pPr>
        <w:pStyle w:val="4"/>
        <w:spacing w:before="58" w:line="360" w:lineRule="auto"/>
        <w:ind w:left="420" w:leftChars="200" w:right="21" w:rightChars="10"/>
        <w:rPr>
          <w:rFonts w:asciiTheme="minorEastAsia" w:hAnsiTheme="minorEastAsia" w:eastAsiaTheme="minorEastAsia"/>
        </w:rPr>
      </w:pPr>
      <w:r>
        <w:rPr>
          <w:rFonts w:asciiTheme="minorEastAsia" w:hAnsiTheme="minorEastAsia" w:eastAsiaTheme="minorEastAsia"/>
        </w:rPr>
        <w:t>①整理记录归</w:t>
      </w:r>
      <w:r>
        <w:rPr>
          <w:rFonts w:asciiTheme="minorEastAsia" w:hAnsiTheme="minorEastAsia" w:eastAsiaTheme="minorEastAsia"/>
          <w:spacing w:val="-1"/>
        </w:rPr>
        <w:t>档</w:t>
      </w:r>
      <w:r>
        <w:rPr>
          <w:rFonts w:asciiTheme="minorEastAsia" w:hAnsiTheme="minorEastAsia" w:eastAsiaTheme="minorEastAsia"/>
        </w:rPr>
        <w:t>采购人单位与项目承建单位来往的文件</w:t>
      </w:r>
      <w:r>
        <w:rPr>
          <w:rFonts w:asciiTheme="minorEastAsia" w:hAnsiTheme="minorEastAsia" w:eastAsiaTheme="minorEastAsia"/>
          <w:spacing w:val="-17"/>
        </w:rPr>
        <w:t>、</w:t>
      </w:r>
      <w:r>
        <w:rPr>
          <w:rFonts w:asciiTheme="minorEastAsia" w:hAnsiTheme="minorEastAsia" w:eastAsiaTheme="minorEastAsia"/>
        </w:rPr>
        <w:t>合同</w:t>
      </w:r>
      <w:r>
        <w:rPr>
          <w:rFonts w:asciiTheme="minorEastAsia" w:hAnsiTheme="minorEastAsia" w:eastAsiaTheme="minorEastAsia"/>
          <w:spacing w:val="-17"/>
        </w:rPr>
        <w:t>、</w:t>
      </w:r>
      <w:r>
        <w:rPr>
          <w:rFonts w:asciiTheme="minorEastAsia" w:hAnsiTheme="minorEastAsia" w:eastAsiaTheme="minorEastAsia"/>
        </w:rPr>
        <w:t>协议及会议记录</w:t>
      </w:r>
      <w:r>
        <w:rPr>
          <w:rFonts w:asciiTheme="minorEastAsia" w:hAnsiTheme="minorEastAsia" w:eastAsiaTheme="minorEastAsia"/>
          <w:spacing w:val="-17"/>
        </w:rPr>
        <w:t>、</w:t>
      </w:r>
      <w:r>
        <w:rPr>
          <w:rFonts w:asciiTheme="minorEastAsia" w:hAnsiTheme="minorEastAsia" w:eastAsiaTheme="minorEastAsia"/>
        </w:rPr>
        <w:t>电话记录等文档</w:t>
      </w:r>
      <w:r>
        <w:rPr>
          <w:rFonts w:asciiTheme="minorEastAsia" w:hAnsiTheme="minorEastAsia" w:eastAsiaTheme="minorEastAsia"/>
          <w:spacing w:val="-1"/>
        </w:rPr>
        <w:t>。</w:t>
      </w:r>
      <w:r>
        <w:rPr>
          <w:rFonts w:asciiTheme="minorEastAsia" w:hAnsiTheme="minorEastAsia" w:eastAsiaTheme="minorEastAsia"/>
        </w:rPr>
        <w:t>项目实施过程中做好项目信息的收集管理工作等；</w:t>
      </w:r>
    </w:p>
    <w:p>
      <w:pPr>
        <w:pStyle w:val="4"/>
        <w:spacing w:before="15" w:line="360" w:lineRule="auto"/>
        <w:ind w:left="420" w:leftChars="200"/>
        <w:rPr>
          <w:rFonts w:asciiTheme="minorEastAsia" w:hAnsiTheme="minorEastAsia" w:eastAsiaTheme="minorEastAsia"/>
        </w:rPr>
      </w:pPr>
      <w:r>
        <w:rPr>
          <w:rFonts w:asciiTheme="minorEastAsia" w:hAnsiTheme="minorEastAsia" w:eastAsiaTheme="minorEastAsia"/>
        </w:rPr>
        <w:t>②做好文档的配置和版本控制</w:t>
      </w:r>
      <w:r>
        <w:rPr>
          <w:rFonts w:asciiTheme="minorEastAsia" w:hAnsiTheme="minorEastAsia" w:eastAsiaTheme="minorEastAsia"/>
          <w:spacing w:val="-10"/>
        </w:rPr>
        <w:t>，</w:t>
      </w:r>
      <w:r>
        <w:rPr>
          <w:rFonts w:asciiTheme="minorEastAsia" w:hAnsiTheme="minorEastAsia" w:eastAsiaTheme="minorEastAsia"/>
        </w:rPr>
        <w:t>做好项目合同</w:t>
      </w:r>
      <w:r>
        <w:rPr>
          <w:rFonts w:asciiTheme="minorEastAsia" w:hAnsiTheme="minorEastAsia" w:eastAsiaTheme="minorEastAsia"/>
          <w:spacing w:val="-10"/>
        </w:rPr>
        <w:t>、</w:t>
      </w:r>
      <w:r>
        <w:rPr>
          <w:rFonts w:asciiTheme="minorEastAsia" w:hAnsiTheme="minorEastAsia" w:eastAsiaTheme="minorEastAsia"/>
        </w:rPr>
        <w:t>技术方案</w:t>
      </w:r>
      <w:r>
        <w:rPr>
          <w:rFonts w:asciiTheme="minorEastAsia" w:hAnsiTheme="minorEastAsia" w:eastAsiaTheme="minorEastAsia"/>
          <w:spacing w:val="-10"/>
        </w:rPr>
        <w:t>、</w:t>
      </w:r>
      <w:r>
        <w:rPr>
          <w:rFonts w:asciiTheme="minorEastAsia" w:hAnsiTheme="minorEastAsia" w:eastAsiaTheme="minorEastAsia"/>
        </w:rPr>
        <w:t>测试文档</w:t>
      </w:r>
      <w:r>
        <w:rPr>
          <w:rFonts w:asciiTheme="minorEastAsia" w:hAnsiTheme="minorEastAsia" w:eastAsiaTheme="minorEastAsia"/>
          <w:spacing w:val="-9"/>
        </w:rPr>
        <w:t>、</w:t>
      </w:r>
      <w:r>
        <w:rPr>
          <w:rFonts w:asciiTheme="minorEastAsia" w:hAnsiTheme="minorEastAsia" w:eastAsiaTheme="minorEastAsia"/>
        </w:rPr>
        <w:t>验收报告</w:t>
      </w:r>
      <w:r>
        <w:rPr>
          <w:rFonts w:asciiTheme="minorEastAsia" w:hAnsiTheme="minorEastAsia" w:eastAsiaTheme="minorEastAsia"/>
          <w:spacing w:val="-10"/>
        </w:rPr>
        <w:t>、</w:t>
      </w:r>
      <w:r>
        <w:rPr>
          <w:rFonts w:asciiTheme="minorEastAsia" w:hAnsiTheme="minorEastAsia" w:eastAsiaTheme="minorEastAsia"/>
        </w:rPr>
        <w:t>来往文档等的存档和移交工作；</w:t>
      </w:r>
    </w:p>
    <w:p>
      <w:pPr>
        <w:pStyle w:val="4"/>
        <w:spacing w:before="15" w:line="360" w:lineRule="auto"/>
        <w:ind w:left="420" w:leftChars="200" w:right="84" w:rightChars="40"/>
        <w:rPr>
          <w:rFonts w:asciiTheme="minorEastAsia" w:hAnsiTheme="minorEastAsia" w:eastAsiaTheme="minorEastAsia"/>
        </w:rPr>
      </w:pPr>
      <w:r>
        <w:rPr>
          <w:rFonts w:asciiTheme="minorEastAsia" w:hAnsiTheme="minorEastAsia" w:eastAsiaTheme="minorEastAsia"/>
        </w:rPr>
        <w:t>③确保建设项目文档完整性</w:t>
      </w:r>
      <w:r>
        <w:rPr>
          <w:rFonts w:asciiTheme="minorEastAsia" w:hAnsiTheme="minorEastAsia" w:eastAsiaTheme="minorEastAsia"/>
          <w:spacing w:val="-24"/>
        </w:rPr>
        <w:t>、</w:t>
      </w:r>
      <w:r>
        <w:rPr>
          <w:rFonts w:asciiTheme="minorEastAsia" w:hAnsiTheme="minorEastAsia" w:eastAsiaTheme="minorEastAsia"/>
        </w:rPr>
        <w:t>真实性和一致性</w:t>
      </w:r>
      <w:r>
        <w:rPr>
          <w:rFonts w:asciiTheme="minorEastAsia" w:hAnsiTheme="minorEastAsia" w:eastAsiaTheme="minorEastAsia"/>
          <w:spacing w:val="-24"/>
        </w:rPr>
        <w:t>。</w:t>
      </w:r>
      <w:r>
        <w:rPr>
          <w:rFonts w:asciiTheme="minorEastAsia" w:hAnsiTheme="minorEastAsia" w:eastAsiaTheme="minorEastAsia"/>
        </w:rPr>
        <w:t>按照有关要求负责检查被委托单位竣工资料的整理与编制，并督促检查承建方及时完成竣工文件使其达到竣工文件标准</w:t>
      </w:r>
      <w:r>
        <w:rPr>
          <w:rFonts w:hint="eastAsia" w:asciiTheme="minorEastAsia" w:hAnsiTheme="minorEastAsia" w:eastAsiaTheme="minorEastAsia"/>
        </w:rPr>
        <w:t>。</w:t>
      </w:r>
    </w:p>
    <w:p>
      <w:pPr>
        <w:pStyle w:val="4"/>
        <w:spacing w:before="14" w:line="360" w:lineRule="auto"/>
        <w:ind w:left="323" w:leftChars="154" w:right="2921" w:rightChars="1391"/>
        <w:rPr>
          <w:rFonts w:asciiTheme="minorEastAsia" w:hAnsiTheme="minorEastAsia" w:eastAsiaTheme="minorEastAsia"/>
        </w:rPr>
      </w:pPr>
      <w:r>
        <w:rPr>
          <w:rFonts w:asciiTheme="minorEastAsia" w:hAnsiTheme="minorEastAsia" w:eastAsiaTheme="minorEastAsia"/>
        </w:rPr>
        <w:t xml:space="preserve">④相关文档的审查工作。 </w:t>
      </w:r>
    </w:p>
    <w:p>
      <w:pPr>
        <w:pStyle w:val="4"/>
        <w:spacing w:before="14" w:line="360" w:lineRule="auto"/>
        <w:ind w:right="6478"/>
        <w:outlineLvl w:val="0"/>
        <w:rPr>
          <w:rFonts w:asciiTheme="minorEastAsia" w:hAnsiTheme="minorEastAsia" w:eastAsiaTheme="minorEastAsia"/>
        </w:rPr>
      </w:pPr>
      <w:r>
        <w:rPr>
          <w:rFonts w:cs="Arial" w:asciiTheme="minorEastAsia" w:hAnsiTheme="minorEastAsia" w:eastAsiaTheme="minorEastAsia"/>
          <w:w w:val="105"/>
        </w:rPr>
        <w:t>7.</w:t>
      </w:r>
      <w:r>
        <w:rPr>
          <w:rFonts w:cs="Arial" w:asciiTheme="minorEastAsia" w:hAnsiTheme="minorEastAsia" w:eastAsiaTheme="minorEastAsia"/>
          <w:spacing w:val="29"/>
          <w:w w:val="105"/>
        </w:rPr>
        <w:t xml:space="preserve"> </w:t>
      </w:r>
      <w:r>
        <w:rPr>
          <w:rFonts w:asciiTheme="minorEastAsia" w:hAnsiTheme="minorEastAsia" w:eastAsiaTheme="minorEastAsia"/>
          <w:w w:val="105"/>
        </w:rPr>
        <w:t>组织协调</w:t>
      </w:r>
    </w:p>
    <w:p>
      <w:pPr>
        <w:pStyle w:val="4"/>
        <w:spacing w:before="15" w:line="360" w:lineRule="auto"/>
        <w:ind w:left="323" w:leftChars="154"/>
        <w:rPr>
          <w:rFonts w:asciiTheme="minorEastAsia" w:hAnsiTheme="minorEastAsia" w:eastAsiaTheme="minorEastAsia"/>
        </w:rPr>
      </w:pPr>
      <w:r>
        <w:rPr>
          <w:rFonts w:asciiTheme="minorEastAsia" w:hAnsiTheme="minorEastAsia" w:eastAsiaTheme="minorEastAsia"/>
        </w:rPr>
        <w:t>①投标人应建立符合要求的沟通协调方案；并在实施过程中确保沟通的畅通。</w:t>
      </w:r>
    </w:p>
    <w:p>
      <w:pPr>
        <w:pStyle w:val="4"/>
        <w:spacing w:before="56" w:line="360" w:lineRule="auto"/>
        <w:ind w:left="323" w:leftChars="154" w:right="38" w:rightChars="18"/>
        <w:rPr>
          <w:rFonts w:asciiTheme="minorEastAsia" w:hAnsiTheme="minorEastAsia" w:eastAsiaTheme="minorEastAsia"/>
        </w:rPr>
      </w:pPr>
      <w:r>
        <w:rPr>
          <w:rFonts w:asciiTheme="minorEastAsia" w:hAnsiTheme="minorEastAsia" w:eastAsiaTheme="minorEastAsia"/>
        </w:rPr>
        <w:t>②投标人应与项目办</w:t>
      </w:r>
      <w:r>
        <w:rPr>
          <w:rFonts w:asciiTheme="minorEastAsia" w:hAnsiTheme="minorEastAsia" w:eastAsiaTheme="minorEastAsia"/>
          <w:spacing w:val="-17"/>
        </w:rPr>
        <w:t>、</w:t>
      </w:r>
      <w:r>
        <w:rPr>
          <w:rFonts w:asciiTheme="minorEastAsia" w:hAnsiTheme="minorEastAsia" w:eastAsiaTheme="minorEastAsia"/>
        </w:rPr>
        <w:t>各用户单位</w:t>
      </w:r>
      <w:r>
        <w:rPr>
          <w:rFonts w:asciiTheme="minorEastAsia" w:hAnsiTheme="minorEastAsia" w:eastAsiaTheme="minorEastAsia"/>
          <w:spacing w:val="-17"/>
        </w:rPr>
        <w:t>、</w:t>
      </w:r>
      <w:r>
        <w:rPr>
          <w:rFonts w:asciiTheme="minorEastAsia" w:hAnsiTheme="minorEastAsia" w:eastAsiaTheme="minorEastAsia"/>
        </w:rPr>
        <w:t>委托单位建立信息沟通机制</w:t>
      </w:r>
      <w:r>
        <w:rPr>
          <w:rFonts w:asciiTheme="minorEastAsia" w:hAnsiTheme="minorEastAsia" w:eastAsiaTheme="minorEastAsia"/>
          <w:spacing w:val="-17"/>
        </w:rPr>
        <w:t>，</w:t>
      </w:r>
      <w:r>
        <w:rPr>
          <w:rFonts w:asciiTheme="minorEastAsia" w:hAnsiTheme="minorEastAsia" w:eastAsiaTheme="minorEastAsia"/>
        </w:rPr>
        <w:t>并要求各方在项目工作中贯彻执行；通过监理会议、监理报告和现场沟通及时反映问题</w:t>
      </w:r>
      <w:r>
        <w:rPr>
          <w:rFonts w:hint="eastAsia" w:asciiTheme="minorEastAsia" w:hAnsiTheme="minorEastAsia" w:eastAsiaTheme="minorEastAsia"/>
        </w:rPr>
        <w:t>。</w:t>
      </w:r>
    </w:p>
    <w:p>
      <w:pPr>
        <w:pStyle w:val="4"/>
        <w:spacing w:before="10" w:line="360" w:lineRule="auto"/>
        <w:ind w:left="323" w:leftChars="154" w:right="38" w:rightChars="18"/>
        <w:rPr>
          <w:rFonts w:asciiTheme="minorEastAsia" w:hAnsiTheme="minorEastAsia" w:eastAsiaTheme="minorEastAsia"/>
        </w:rPr>
      </w:pPr>
      <w:r>
        <w:rPr>
          <w:rFonts w:asciiTheme="minorEastAsia" w:hAnsiTheme="minorEastAsia" w:eastAsiaTheme="minorEastAsia"/>
        </w:rPr>
        <w:t>③对于信息系统项目过程中出现的可能影响系统应用的情况</w:t>
      </w:r>
      <w:r>
        <w:rPr>
          <w:rFonts w:asciiTheme="minorEastAsia" w:hAnsiTheme="minorEastAsia" w:eastAsiaTheme="minorEastAsia"/>
          <w:spacing w:val="-51"/>
        </w:rPr>
        <w:t>，</w:t>
      </w:r>
      <w:r>
        <w:rPr>
          <w:rFonts w:asciiTheme="minorEastAsia" w:hAnsiTheme="minorEastAsia" w:eastAsiaTheme="minorEastAsia"/>
        </w:rPr>
        <w:t>及时予以通报并召开相关会议，进行组织协调。</w:t>
      </w:r>
    </w:p>
    <w:p>
      <w:pPr>
        <w:pStyle w:val="4"/>
        <w:spacing w:before="13" w:line="360" w:lineRule="auto"/>
        <w:ind w:right="-354"/>
        <w:outlineLvl w:val="0"/>
        <w:rPr>
          <w:rFonts w:asciiTheme="minorEastAsia" w:hAnsiTheme="minorEastAsia" w:eastAsiaTheme="minorEastAsia"/>
        </w:rPr>
      </w:pPr>
      <w:r>
        <w:rPr>
          <w:rFonts w:cs="Arial" w:asciiTheme="minorEastAsia" w:hAnsiTheme="minorEastAsia" w:eastAsiaTheme="minorEastAsia"/>
        </w:rPr>
        <w:t>8</w:t>
      </w:r>
      <w:r>
        <w:rPr>
          <w:rFonts w:asciiTheme="minorEastAsia" w:hAnsiTheme="minorEastAsia" w:eastAsiaTheme="minorEastAsia"/>
        </w:rPr>
        <w:t xml:space="preserve">．项目的验收 </w:t>
      </w:r>
    </w:p>
    <w:p>
      <w:pPr>
        <w:pStyle w:val="4"/>
        <w:spacing w:before="13" w:line="360" w:lineRule="auto"/>
        <w:ind w:right="-354" w:firstLine="420" w:firstLineChars="200"/>
        <w:rPr>
          <w:rFonts w:asciiTheme="minorEastAsia" w:hAnsiTheme="minorEastAsia" w:eastAsiaTheme="minorEastAsia"/>
        </w:rPr>
      </w:pPr>
      <w:r>
        <w:rPr>
          <w:rFonts w:asciiTheme="minorEastAsia" w:hAnsiTheme="minorEastAsia" w:eastAsiaTheme="minorEastAsia"/>
        </w:rPr>
        <w:t>按照国家相关规定</w:t>
      </w:r>
      <w:r>
        <w:rPr>
          <w:rFonts w:asciiTheme="minorEastAsia" w:hAnsiTheme="minorEastAsia" w:eastAsiaTheme="minorEastAsia"/>
          <w:spacing w:val="-1"/>
        </w:rPr>
        <w:t>和</w:t>
      </w:r>
      <w:r>
        <w:rPr>
          <w:rFonts w:asciiTheme="minorEastAsia" w:hAnsiTheme="minorEastAsia" w:eastAsiaTheme="minorEastAsia"/>
        </w:rPr>
        <w:t xml:space="preserve">采购人的要求，组织和协调各服务项目的验收工作。 </w:t>
      </w:r>
    </w:p>
    <w:p>
      <w:pPr>
        <w:pStyle w:val="4"/>
        <w:spacing w:before="13" w:line="360" w:lineRule="auto"/>
        <w:ind w:right="1314"/>
        <w:rPr>
          <w:rFonts w:asciiTheme="minorEastAsia" w:hAnsiTheme="minorEastAsia" w:eastAsiaTheme="minorEastAsia"/>
        </w:rPr>
      </w:pPr>
      <w:r>
        <w:rPr>
          <w:rFonts w:cs="Arial" w:asciiTheme="minorEastAsia" w:hAnsiTheme="minorEastAsia" w:eastAsiaTheme="minorEastAsia"/>
          <w:spacing w:val="2"/>
        </w:rPr>
        <w:t>2</w:t>
      </w:r>
      <w:r>
        <w:rPr>
          <w:rFonts w:cs="Arial" w:asciiTheme="minorEastAsia" w:hAnsiTheme="minorEastAsia" w:eastAsiaTheme="minorEastAsia"/>
        </w:rPr>
        <w:t xml:space="preserve">.7 </w:t>
      </w:r>
      <w:r>
        <w:rPr>
          <w:rFonts w:cs="Arial" w:asciiTheme="minorEastAsia" w:hAnsiTheme="minorEastAsia" w:eastAsiaTheme="minorEastAsia"/>
          <w:spacing w:val="12"/>
        </w:rPr>
        <w:t xml:space="preserve"> </w:t>
      </w:r>
      <w:r>
        <w:rPr>
          <w:rFonts w:asciiTheme="minorEastAsia" w:hAnsiTheme="minorEastAsia" w:eastAsiaTheme="minorEastAsia"/>
        </w:rPr>
        <w:t>监</w:t>
      </w:r>
      <w:r>
        <w:rPr>
          <w:rFonts w:asciiTheme="minorEastAsia" w:hAnsiTheme="minorEastAsia" w:eastAsiaTheme="minorEastAsia"/>
          <w:spacing w:val="2"/>
        </w:rPr>
        <w:t>理</w:t>
      </w:r>
      <w:r>
        <w:rPr>
          <w:rFonts w:asciiTheme="minorEastAsia" w:hAnsiTheme="minorEastAsia" w:eastAsiaTheme="minorEastAsia"/>
        </w:rPr>
        <w:t>工作</w:t>
      </w:r>
      <w:r>
        <w:rPr>
          <w:rFonts w:asciiTheme="minorEastAsia" w:hAnsiTheme="minorEastAsia" w:eastAsiaTheme="minorEastAsia"/>
          <w:spacing w:val="2"/>
        </w:rPr>
        <w:t>质</w:t>
      </w:r>
      <w:r>
        <w:rPr>
          <w:rFonts w:asciiTheme="minorEastAsia" w:hAnsiTheme="minorEastAsia" w:eastAsiaTheme="minorEastAsia"/>
        </w:rPr>
        <w:t>量</w:t>
      </w:r>
      <w:r>
        <w:rPr>
          <w:rFonts w:asciiTheme="minorEastAsia" w:hAnsiTheme="minorEastAsia" w:eastAsiaTheme="minorEastAsia"/>
          <w:spacing w:val="2"/>
        </w:rPr>
        <w:t>要</w:t>
      </w:r>
      <w:r>
        <w:rPr>
          <w:rFonts w:asciiTheme="minorEastAsia" w:hAnsiTheme="minorEastAsia" w:eastAsiaTheme="minorEastAsia"/>
        </w:rPr>
        <w:t>求</w:t>
      </w:r>
    </w:p>
    <w:p>
      <w:pPr>
        <w:pStyle w:val="4"/>
        <w:spacing w:before="11" w:line="360" w:lineRule="auto"/>
        <w:ind w:right="187" w:firstLine="480"/>
        <w:jc w:val="both"/>
        <w:rPr>
          <w:rFonts w:asciiTheme="minorEastAsia" w:hAnsiTheme="minorEastAsia" w:eastAsiaTheme="minorEastAsia"/>
        </w:rPr>
      </w:pPr>
      <w:r>
        <w:rPr>
          <w:rFonts w:asciiTheme="minorEastAsia" w:hAnsiTheme="minorEastAsia" w:eastAsiaTheme="minorEastAsia"/>
        </w:rPr>
        <w:t>投标</w:t>
      </w:r>
      <w:r>
        <w:rPr>
          <w:rFonts w:asciiTheme="minorEastAsia" w:hAnsiTheme="minorEastAsia" w:eastAsiaTheme="minorEastAsia"/>
          <w:spacing w:val="-1"/>
        </w:rPr>
        <w:t>人</w:t>
      </w:r>
      <w:r>
        <w:rPr>
          <w:rFonts w:asciiTheme="minorEastAsia" w:hAnsiTheme="minorEastAsia" w:eastAsiaTheme="minorEastAsia"/>
        </w:rPr>
        <w:t>应该在质量控制、进度控制、投资控制、合同管理、文档管理、组织协调、验收和评估这八个方面对监理工程采取必要和完善的监督</w:t>
      </w:r>
      <w:r>
        <w:rPr>
          <w:rFonts w:asciiTheme="minorEastAsia" w:hAnsiTheme="minorEastAsia" w:eastAsiaTheme="minorEastAsia"/>
          <w:spacing w:val="-24"/>
        </w:rPr>
        <w:t>、</w:t>
      </w:r>
      <w:r>
        <w:rPr>
          <w:rFonts w:asciiTheme="minorEastAsia" w:hAnsiTheme="minorEastAsia" w:eastAsiaTheme="minorEastAsia"/>
        </w:rPr>
        <w:t>控制和管理措施</w:t>
      </w:r>
      <w:r>
        <w:rPr>
          <w:rFonts w:asciiTheme="minorEastAsia" w:hAnsiTheme="minorEastAsia" w:eastAsiaTheme="minorEastAsia"/>
          <w:spacing w:val="-24"/>
        </w:rPr>
        <w:t>，</w:t>
      </w:r>
      <w:r>
        <w:rPr>
          <w:rFonts w:asciiTheme="minorEastAsia" w:hAnsiTheme="minorEastAsia" w:eastAsiaTheme="minorEastAsia"/>
        </w:rPr>
        <w:t>保证项目建设的规范性、可靠性、高效性，不断提供用户满意度。</w:t>
      </w:r>
    </w:p>
    <w:p>
      <w:pPr>
        <w:pStyle w:val="4"/>
        <w:spacing w:before="14" w:line="360" w:lineRule="auto"/>
        <w:ind w:right="235" w:firstLine="480"/>
        <w:jc w:val="both"/>
        <w:rPr>
          <w:rFonts w:asciiTheme="minorEastAsia" w:hAnsiTheme="minorEastAsia" w:eastAsiaTheme="minorEastAsia"/>
        </w:rPr>
      </w:pPr>
      <w:r>
        <w:rPr>
          <w:rFonts w:asciiTheme="minorEastAsia" w:hAnsiTheme="minorEastAsia" w:eastAsiaTheme="minorEastAsia"/>
        </w:rPr>
        <w:t>投标</w:t>
      </w:r>
      <w:r>
        <w:rPr>
          <w:rFonts w:asciiTheme="minorEastAsia" w:hAnsiTheme="minorEastAsia" w:eastAsiaTheme="minorEastAsia"/>
          <w:spacing w:val="-1"/>
        </w:rPr>
        <w:t>人</w:t>
      </w:r>
      <w:r>
        <w:rPr>
          <w:rFonts w:asciiTheme="minorEastAsia" w:hAnsiTheme="minorEastAsia" w:eastAsiaTheme="minorEastAsia"/>
        </w:rPr>
        <w:t>必须定</w:t>
      </w:r>
      <w:r>
        <w:rPr>
          <w:rFonts w:asciiTheme="minorEastAsia" w:hAnsiTheme="minorEastAsia" w:eastAsiaTheme="minorEastAsia"/>
          <w:spacing w:val="-24"/>
        </w:rPr>
        <w:t>时</w:t>
      </w:r>
      <w:r>
        <w:rPr>
          <w:rFonts w:asciiTheme="minorEastAsia" w:hAnsiTheme="minorEastAsia" w:eastAsiaTheme="minorEastAsia"/>
        </w:rPr>
        <w:t>（每周</w:t>
      </w:r>
      <w:r>
        <w:rPr>
          <w:rFonts w:asciiTheme="minorEastAsia" w:hAnsiTheme="minorEastAsia" w:eastAsiaTheme="minorEastAsia"/>
          <w:spacing w:val="-24"/>
        </w:rPr>
        <w:t>）</w:t>
      </w:r>
      <w:r>
        <w:rPr>
          <w:rFonts w:asciiTheme="minorEastAsia" w:hAnsiTheme="minorEastAsia" w:eastAsiaTheme="minorEastAsia"/>
        </w:rPr>
        <w:t>向项目采购人通报项目过程情况及项目过程中所遇到的问题。</w:t>
      </w:r>
    </w:p>
    <w:p>
      <w:pPr>
        <w:pStyle w:val="4"/>
        <w:spacing w:before="14" w:line="360" w:lineRule="auto"/>
        <w:ind w:right="235" w:firstLine="480"/>
        <w:jc w:val="both"/>
        <w:rPr>
          <w:rFonts w:asciiTheme="minorEastAsia" w:hAnsiTheme="minorEastAsia" w:eastAsiaTheme="minorEastAsia"/>
        </w:rPr>
      </w:pPr>
      <w:r>
        <w:rPr>
          <w:rFonts w:cs="Arial" w:asciiTheme="minorEastAsia" w:hAnsiTheme="minorEastAsia" w:eastAsiaTheme="minorEastAsia"/>
          <w:spacing w:val="2"/>
          <w:w w:val="105"/>
        </w:rPr>
        <w:t>2</w:t>
      </w:r>
      <w:r>
        <w:rPr>
          <w:rFonts w:cs="Arial" w:asciiTheme="minorEastAsia" w:hAnsiTheme="minorEastAsia" w:eastAsiaTheme="minorEastAsia"/>
          <w:w w:val="105"/>
        </w:rPr>
        <w:t>.8</w:t>
      </w:r>
      <w:r>
        <w:rPr>
          <w:rFonts w:cs="Arial" w:asciiTheme="minorEastAsia" w:hAnsiTheme="minorEastAsia" w:eastAsiaTheme="minorEastAsia"/>
          <w:spacing w:val="-1"/>
          <w:w w:val="105"/>
        </w:rPr>
        <w:t xml:space="preserve"> </w:t>
      </w:r>
      <w:r>
        <w:rPr>
          <w:rFonts w:asciiTheme="minorEastAsia" w:hAnsiTheme="minorEastAsia" w:eastAsiaTheme="minorEastAsia"/>
          <w:w w:val="105"/>
        </w:rPr>
        <w:t>监</w:t>
      </w:r>
      <w:r>
        <w:rPr>
          <w:rFonts w:asciiTheme="minorEastAsia" w:hAnsiTheme="minorEastAsia" w:eastAsiaTheme="minorEastAsia"/>
          <w:spacing w:val="2"/>
          <w:w w:val="105"/>
        </w:rPr>
        <w:t>理</w:t>
      </w:r>
      <w:r>
        <w:rPr>
          <w:rFonts w:asciiTheme="minorEastAsia" w:hAnsiTheme="minorEastAsia" w:eastAsiaTheme="minorEastAsia"/>
          <w:w w:val="105"/>
        </w:rPr>
        <w:t>的责任</w:t>
      </w:r>
    </w:p>
    <w:p>
      <w:pPr>
        <w:pStyle w:val="4"/>
        <w:spacing w:before="10" w:line="360" w:lineRule="auto"/>
        <w:ind w:right="236" w:firstLine="480"/>
        <w:jc w:val="both"/>
        <w:rPr>
          <w:rFonts w:asciiTheme="minorEastAsia" w:hAnsiTheme="minorEastAsia" w:eastAsiaTheme="minorEastAsia"/>
        </w:rPr>
      </w:pPr>
      <w:r>
        <w:rPr>
          <w:rFonts w:asciiTheme="minorEastAsia" w:hAnsiTheme="minorEastAsia" w:eastAsiaTheme="minorEastAsia"/>
        </w:rPr>
        <w:t>1、投标人有责任为采购人提供项目顾问咨询意见，有义务帮助各承建单位、服务单位实现合同所规定的目标，公正维护各方的合法权益。</w:t>
      </w:r>
    </w:p>
    <w:p>
      <w:pPr>
        <w:pStyle w:val="4"/>
        <w:spacing w:before="10" w:line="360" w:lineRule="auto"/>
        <w:ind w:right="236" w:firstLine="480"/>
        <w:jc w:val="both"/>
        <w:rPr>
          <w:rFonts w:asciiTheme="minorEastAsia" w:hAnsiTheme="minorEastAsia" w:eastAsiaTheme="minorEastAsia"/>
        </w:rPr>
      </w:pPr>
      <w:r>
        <w:rPr>
          <w:rFonts w:asciiTheme="minorEastAsia" w:hAnsiTheme="minorEastAsia" w:eastAsiaTheme="minorEastAsia"/>
        </w:rPr>
        <w:t>2、在本合同期内及合同终止后，未征得采购人同意，不得泄露与本工程项目有关的资料。</w:t>
      </w:r>
    </w:p>
    <w:p>
      <w:pPr>
        <w:pStyle w:val="4"/>
        <w:spacing w:before="10" w:line="360" w:lineRule="auto"/>
        <w:ind w:right="236" w:firstLine="480"/>
        <w:jc w:val="both"/>
        <w:rPr>
          <w:rFonts w:asciiTheme="minorEastAsia" w:hAnsiTheme="minorEastAsia" w:eastAsiaTheme="minorEastAsia"/>
        </w:rPr>
      </w:pPr>
      <w:r>
        <w:rPr>
          <w:rFonts w:asciiTheme="minorEastAsia" w:hAnsiTheme="minorEastAsia" w:eastAsiaTheme="minorEastAsia"/>
        </w:rPr>
        <w:t>3、若由于承建单位在项目实施过程中不符合项目管理规范和质量要求，投标人要监督承建单位整改，直至下达停工令。如承建单位或维护单位工作不力，可提出调换有关人员。</w:t>
      </w:r>
    </w:p>
    <w:p>
      <w:pPr>
        <w:pStyle w:val="4"/>
        <w:spacing w:before="10" w:line="360" w:lineRule="auto"/>
        <w:ind w:right="236" w:firstLine="480"/>
        <w:jc w:val="both"/>
        <w:rPr>
          <w:rFonts w:asciiTheme="minorEastAsia" w:hAnsiTheme="minorEastAsia" w:eastAsiaTheme="minorEastAsia"/>
        </w:rPr>
      </w:pPr>
      <w:r>
        <w:rPr>
          <w:rFonts w:asciiTheme="minorEastAsia" w:hAnsiTheme="minorEastAsia" w:eastAsiaTheme="minorEastAsia"/>
        </w:rPr>
        <w:t>4、如果承建单位违反合同规定的质量要求，投标人应协助采购人追究有关单位的责任。</w:t>
      </w:r>
    </w:p>
    <w:p>
      <w:pPr>
        <w:pStyle w:val="4"/>
        <w:spacing w:before="10" w:line="360" w:lineRule="auto"/>
        <w:ind w:right="236" w:firstLine="480"/>
        <w:jc w:val="both"/>
        <w:rPr>
          <w:rFonts w:asciiTheme="minorEastAsia" w:hAnsiTheme="minorEastAsia" w:eastAsiaTheme="minorEastAsia"/>
        </w:rPr>
      </w:pPr>
      <w:r>
        <w:rPr>
          <w:rFonts w:asciiTheme="minorEastAsia" w:hAnsiTheme="minorEastAsia" w:eastAsiaTheme="minorEastAsia"/>
        </w:rPr>
        <w:t>5、如果因投标人监督不力，造成采购人单位经济损失的，投标人要向采购人赔偿承建单位造成的损失。</w:t>
      </w:r>
    </w:p>
    <w:p>
      <w:pPr>
        <w:pStyle w:val="4"/>
        <w:spacing w:before="10" w:line="360" w:lineRule="auto"/>
        <w:ind w:right="236" w:firstLine="480"/>
        <w:jc w:val="both"/>
        <w:rPr>
          <w:rFonts w:asciiTheme="minorEastAsia" w:hAnsiTheme="minorEastAsia" w:eastAsiaTheme="minorEastAsia"/>
        </w:rPr>
      </w:pPr>
      <w:r>
        <w:rPr>
          <w:rFonts w:asciiTheme="minorEastAsia" w:hAnsiTheme="minorEastAsia" w:eastAsiaTheme="minorEastAsia"/>
        </w:rPr>
        <w:t>6、投标人使用采购人提供的设备和物品属采购人所有，在监理工作完成或终止时， 应将设备和剩余物品在合同及招标文件规定的时间和方式移交给采购人。</w:t>
      </w:r>
    </w:p>
    <w:p>
      <w:pPr>
        <w:pStyle w:val="4"/>
        <w:spacing w:before="10" w:line="360" w:lineRule="auto"/>
        <w:ind w:right="236" w:firstLine="480"/>
        <w:jc w:val="both"/>
        <w:rPr>
          <w:rFonts w:asciiTheme="minorEastAsia" w:hAnsiTheme="minorEastAsia" w:eastAsiaTheme="minorEastAsia"/>
        </w:rPr>
      </w:pPr>
      <w:r>
        <w:rPr>
          <w:rFonts w:asciiTheme="minorEastAsia" w:hAnsiTheme="minorEastAsia" w:eastAsiaTheme="minorEastAsia"/>
        </w:rPr>
        <w:t>7、投标人在本项目相关的监理工作流程，全过程及各里程碑节点均应满足上级监督部门和采购人的全部规定要求，如因投标人违规受到上级部门的处罚，投标人要向采购人赔偿相应的损失。</w:t>
      </w:r>
    </w:p>
    <w:p>
      <w:pPr>
        <w:pStyle w:val="4"/>
        <w:spacing w:before="14" w:line="360" w:lineRule="auto"/>
        <w:outlineLvl w:val="0"/>
        <w:rPr>
          <w:rFonts w:asciiTheme="minorEastAsia" w:hAnsiTheme="minorEastAsia" w:eastAsiaTheme="minorEastAsia"/>
        </w:rPr>
      </w:pPr>
      <w:r>
        <w:rPr>
          <w:rFonts w:cs="Arial" w:asciiTheme="minorEastAsia" w:hAnsiTheme="minorEastAsia" w:eastAsiaTheme="minorEastAsia"/>
          <w:spacing w:val="2"/>
          <w:w w:val="105"/>
        </w:rPr>
        <w:t>2</w:t>
      </w:r>
      <w:r>
        <w:rPr>
          <w:rFonts w:cs="Arial" w:asciiTheme="minorEastAsia" w:hAnsiTheme="minorEastAsia" w:eastAsiaTheme="minorEastAsia"/>
          <w:w w:val="105"/>
        </w:rPr>
        <w:t>.9</w:t>
      </w:r>
      <w:r>
        <w:rPr>
          <w:rFonts w:cs="Arial" w:asciiTheme="minorEastAsia" w:hAnsiTheme="minorEastAsia" w:eastAsiaTheme="minorEastAsia"/>
          <w:spacing w:val="-13"/>
          <w:w w:val="105"/>
        </w:rPr>
        <w:t xml:space="preserve"> </w:t>
      </w:r>
      <w:r>
        <w:rPr>
          <w:rFonts w:asciiTheme="minorEastAsia" w:hAnsiTheme="minorEastAsia" w:eastAsiaTheme="minorEastAsia"/>
          <w:w w:val="105"/>
        </w:rPr>
        <w:t>监</w:t>
      </w:r>
      <w:r>
        <w:rPr>
          <w:rFonts w:asciiTheme="minorEastAsia" w:hAnsiTheme="minorEastAsia" w:eastAsiaTheme="minorEastAsia"/>
          <w:spacing w:val="2"/>
          <w:w w:val="105"/>
        </w:rPr>
        <w:t>理</w:t>
      </w:r>
      <w:r>
        <w:rPr>
          <w:rFonts w:asciiTheme="minorEastAsia" w:hAnsiTheme="minorEastAsia" w:eastAsiaTheme="minorEastAsia"/>
          <w:w w:val="105"/>
        </w:rPr>
        <w:t>服务</w:t>
      </w:r>
      <w:r>
        <w:rPr>
          <w:rFonts w:asciiTheme="minorEastAsia" w:hAnsiTheme="minorEastAsia" w:eastAsiaTheme="minorEastAsia"/>
          <w:spacing w:val="2"/>
          <w:w w:val="105"/>
        </w:rPr>
        <w:t>依</w:t>
      </w:r>
      <w:r>
        <w:rPr>
          <w:rFonts w:asciiTheme="minorEastAsia" w:hAnsiTheme="minorEastAsia" w:eastAsiaTheme="minorEastAsia"/>
          <w:w w:val="105"/>
        </w:rPr>
        <w:t>据</w:t>
      </w:r>
    </w:p>
    <w:p>
      <w:pPr>
        <w:pStyle w:val="4"/>
        <w:spacing w:before="10" w:line="360" w:lineRule="auto"/>
        <w:ind w:right="225" w:rightChars="107" w:firstLine="480"/>
        <w:jc w:val="both"/>
        <w:rPr>
          <w:rFonts w:asciiTheme="minorEastAsia" w:hAnsiTheme="minorEastAsia" w:eastAsiaTheme="minorEastAsia"/>
        </w:rPr>
      </w:pPr>
      <w:r>
        <w:rPr>
          <w:rFonts w:asciiTheme="minorEastAsia" w:hAnsiTheme="minorEastAsia" w:eastAsiaTheme="minorEastAsia"/>
        </w:rPr>
        <w:t>（1）《中华人民共和国政府采购法》等有关规定；</w:t>
      </w:r>
    </w:p>
    <w:p>
      <w:pPr>
        <w:pStyle w:val="4"/>
        <w:spacing w:before="10" w:line="360" w:lineRule="auto"/>
        <w:ind w:right="225" w:rightChars="107" w:firstLine="480"/>
        <w:jc w:val="both"/>
        <w:rPr>
          <w:rFonts w:asciiTheme="minorEastAsia" w:hAnsiTheme="minorEastAsia" w:eastAsiaTheme="minorEastAsia"/>
        </w:rPr>
      </w:pPr>
      <w:r>
        <w:rPr>
          <w:rFonts w:asciiTheme="minorEastAsia" w:hAnsiTheme="minorEastAsia" w:eastAsiaTheme="minorEastAsia"/>
        </w:rPr>
        <w:t>（2）国家有关信息系统项目建设和监理的最新法律、法规和管理规范；</w:t>
      </w:r>
    </w:p>
    <w:p>
      <w:pPr>
        <w:pStyle w:val="4"/>
        <w:spacing w:before="10" w:line="360" w:lineRule="auto"/>
        <w:ind w:right="225" w:rightChars="107" w:firstLine="480"/>
        <w:jc w:val="both"/>
        <w:rPr>
          <w:rFonts w:asciiTheme="minorEastAsia" w:hAnsiTheme="minorEastAsia" w:eastAsiaTheme="minorEastAsia"/>
        </w:rPr>
      </w:pPr>
      <w:r>
        <w:rPr>
          <w:rFonts w:asciiTheme="minorEastAsia" w:hAnsiTheme="minorEastAsia" w:eastAsiaTheme="minorEastAsia"/>
        </w:rPr>
        <w:t>（3）采购人与项目承建方签订的合同；</w:t>
      </w:r>
    </w:p>
    <w:p>
      <w:pPr>
        <w:pStyle w:val="4"/>
        <w:spacing w:before="10" w:line="360" w:lineRule="auto"/>
        <w:ind w:right="225" w:rightChars="107" w:firstLine="480"/>
        <w:jc w:val="both"/>
        <w:rPr>
          <w:rFonts w:asciiTheme="minorEastAsia" w:hAnsiTheme="minorEastAsia" w:eastAsiaTheme="minorEastAsia"/>
        </w:rPr>
      </w:pPr>
      <w:r>
        <w:rPr>
          <w:rFonts w:asciiTheme="minorEastAsia" w:hAnsiTheme="minorEastAsia" w:eastAsiaTheme="minorEastAsia"/>
        </w:rPr>
        <w:t>（4）采购人与投标人签订的监理合同；</w:t>
      </w:r>
    </w:p>
    <w:p>
      <w:pPr>
        <w:pStyle w:val="4"/>
        <w:spacing w:before="10" w:line="360" w:lineRule="auto"/>
        <w:ind w:right="225" w:rightChars="107" w:firstLine="480"/>
        <w:jc w:val="both"/>
        <w:rPr>
          <w:rFonts w:asciiTheme="minorEastAsia" w:hAnsiTheme="minorEastAsia" w:eastAsiaTheme="minorEastAsia"/>
        </w:rPr>
      </w:pPr>
      <w:r>
        <w:rPr>
          <w:rFonts w:asciiTheme="minorEastAsia" w:hAnsiTheme="minorEastAsia" w:eastAsiaTheme="minorEastAsia"/>
        </w:rPr>
        <w:t>（5）有关国家和地区技术规范和</w:t>
      </w:r>
      <w:r>
        <w:rPr>
          <w:rFonts w:hint="eastAsia" w:asciiTheme="minorEastAsia" w:hAnsiTheme="minorEastAsia" w:eastAsiaTheme="minorEastAsia"/>
        </w:rPr>
        <w:t>标准</w:t>
      </w:r>
      <w:r>
        <w:rPr>
          <w:rFonts w:asciiTheme="minorEastAsia" w:hAnsiTheme="minorEastAsia" w:eastAsiaTheme="minorEastAsia"/>
        </w:rPr>
        <w:t>。</w:t>
      </w:r>
    </w:p>
    <w:p>
      <w:pPr>
        <w:pStyle w:val="4"/>
        <w:spacing w:before="58" w:line="360" w:lineRule="auto"/>
        <w:ind w:right="4855"/>
        <w:outlineLvl w:val="0"/>
        <w:rPr>
          <w:rFonts w:asciiTheme="minorEastAsia" w:hAnsiTheme="minorEastAsia" w:eastAsiaTheme="minorEastAsia"/>
        </w:rPr>
      </w:pPr>
      <w:r>
        <w:rPr>
          <w:rFonts w:cs="Arial" w:asciiTheme="minorEastAsia" w:hAnsiTheme="minorEastAsia" w:eastAsiaTheme="minorEastAsia"/>
          <w:spacing w:val="1"/>
        </w:rPr>
        <w:t>2</w:t>
      </w:r>
      <w:r>
        <w:rPr>
          <w:rFonts w:cs="Arial" w:asciiTheme="minorEastAsia" w:hAnsiTheme="minorEastAsia" w:eastAsiaTheme="minorEastAsia"/>
        </w:rPr>
        <w:t>.</w:t>
      </w:r>
      <w:r>
        <w:rPr>
          <w:rFonts w:cs="Arial" w:asciiTheme="minorEastAsia" w:hAnsiTheme="minorEastAsia" w:eastAsiaTheme="minorEastAsia"/>
          <w:spacing w:val="2"/>
        </w:rPr>
        <w:t>1</w:t>
      </w:r>
      <w:r>
        <w:rPr>
          <w:rFonts w:cs="Arial" w:asciiTheme="minorEastAsia" w:hAnsiTheme="minorEastAsia" w:eastAsiaTheme="minorEastAsia"/>
        </w:rPr>
        <w:t>0</w:t>
      </w:r>
      <w:r>
        <w:rPr>
          <w:rFonts w:cs="Arial" w:asciiTheme="minorEastAsia" w:hAnsiTheme="minorEastAsia" w:eastAsiaTheme="minorEastAsia"/>
          <w:spacing w:val="62"/>
        </w:rPr>
        <w:t xml:space="preserve"> </w:t>
      </w:r>
      <w:r>
        <w:rPr>
          <w:rFonts w:asciiTheme="minorEastAsia" w:hAnsiTheme="minorEastAsia" w:eastAsiaTheme="minorEastAsia"/>
          <w:spacing w:val="2"/>
        </w:rPr>
        <w:t>项</w:t>
      </w:r>
      <w:r>
        <w:rPr>
          <w:rFonts w:asciiTheme="minorEastAsia" w:hAnsiTheme="minorEastAsia" w:eastAsiaTheme="minorEastAsia"/>
        </w:rPr>
        <w:t>目整</w:t>
      </w:r>
      <w:r>
        <w:rPr>
          <w:rFonts w:asciiTheme="minorEastAsia" w:hAnsiTheme="minorEastAsia" w:eastAsiaTheme="minorEastAsia"/>
          <w:spacing w:val="2"/>
        </w:rPr>
        <w:t>体</w:t>
      </w:r>
      <w:r>
        <w:rPr>
          <w:rFonts w:asciiTheme="minorEastAsia" w:hAnsiTheme="minorEastAsia" w:eastAsiaTheme="minorEastAsia"/>
        </w:rPr>
        <w:t>理</w:t>
      </w:r>
      <w:r>
        <w:rPr>
          <w:rFonts w:asciiTheme="minorEastAsia" w:hAnsiTheme="minorEastAsia" w:eastAsiaTheme="minorEastAsia"/>
          <w:spacing w:val="2"/>
        </w:rPr>
        <w:t>解</w:t>
      </w:r>
      <w:r>
        <w:rPr>
          <w:rFonts w:asciiTheme="minorEastAsia" w:hAnsiTheme="minorEastAsia" w:eastAsiaTheme="minorEastAsia"/>
        </w:rPr>
        <w:t>及</w:t>
      </w:r>
      <w:r>
        <w:rPr>
          <w:rFonts w:asciiTheme="minorEastAsia" w:hAnsiTheme="minorEastAsia" w:eastAsiaTheme="minorEastAsia"/>
          <w:spacing w:val="2"/>
        </w:rPr>
        <w:t>分</w:t>
      </w:r>
      <w:r>
        <w:rPr>
          <w:rFonts w:asciiTheme="minorEastAsia" w:hAnsiTheme="minorEastAsia" w:eastAsiaTheme="minorEastAsia"/>
        </w:rPr>
        <w:t>析</w:t>
      </w:r>
    </w:p>
    <w:p>
      <w:pPr>
        <w:pStyle w:val="4"/>
        <w:spacing w:before="15" w:line="360" w:lineRule="auto"/>
        <w:ind w:right="-341"/>
        <w:rPr>
          <w:rFonts w:asciiTheme="minorEastAsia" w:hAnsiTheme="minorEastAsia" w:eastAsiaTheme="minorEastAsia"/>
        </w:rPr>
      </w:pPr>
      <w:r>
        <w:rPr>
          <w:rFonts w:asciiTheme="minorEastAsia" w:hAnsiTheme="minorEastAsia" w:eastAsiaTheme="minorEastAsia"/>
        </w:rPr>
        <w:t>投标人需针对本项目作出项目整体理解及项目特点分析并提出合理化建议的应答。</w:t>
      </w:r>
    </w:p>
    <w:p>
      <w:pPr>
        <w:pStyle w:val="4"/>
        <w:spacing w:before="15" w:line="360" w:lineRule="auto"/>
        <w:ind w:right="88"/>
        <w:rPr>
          <w:rFonts w:asciiTheme="minorEastAsia" w:hAnsiTheme="minorEastAsia" w:eastAsiaTheme="minorEastAsia"/>
        </w:rPr>
      </w:pPr>
      <w:r>
        <w:rPr>
          <w:rFonts w:cs="Arial" w:asciiTheme="minorEastAsia" w:hAnsiTheme="minorEastAsia" w:eastAsiaTheme="minorEastAsia"/>
          <w:spacing w:val="2"/>
        </w:rPr>
        <w:t>2</w:t>
      </w:r>
      <w:r>
        <w:rPr>
          <w:rFonts w:cs="Arial" w:asciiTheme="minorEastAsia" w:hAnsiTheme="minorEastAsia" w:eastAsiaTheme="minorEastAsia"/>
        </w:rPr>
        <w:t>.</w:t>
      </w:r>
      <w:r>
        <w:rPr>
          <w:rFonts w:cs="Arial" w:asciiTheme="minorEastAsia" w:hAnsiTheme="minorEastAsia" w:eastAsiaTheme="minorEastAsia"/>
          <w:spacing w:val="1"/>
        </w:rPr>
        <w:t>1</w:t>
      </w:r>
      <w:r>
        <w:rPr>
          <w:rFonts w:cs="Arial" w:asciiTheme="minorEastAsia" w:hAnsiTheme="minorEastAsia" w:eastAsiaTheme="minorEastAsia"/>
        </w:rPr>
        <w:t>1</w:t>
      </w:r>
      <w:r>
        <w:rPr>
          <w:rFonts w:cs="Arial" w:asciiTheme="minorEastAsia" w:hAnsiTheme="minorEastAsia" w:eastAsiaTheme="minorEastAsia"/>
          <w:spacing w:val="2"/>
        </w:rPr>
        <w:t xml:space="preserve"> </w:t>
      </w:r>
      <w:r>
        <w:rPr>
          <w:rFonts w:asciiTheme="minorEastAsia" w:hAnsiTheme="minorEastAsia" w:eastAsiaTheme="minorEastAsia"/>
        </w:rPr>
        <w:t>监</w:t>
      </w:r>
      <w:r>
        <w:rPr>
          <w:rFonts w:asciiTheme="minorEastAsia" w:hAnsiTheme="minorEastAsia" w:eastAsiaTheme="minorEastAsia"/>
          <w:spacing w:val="2"/>
        </w:rPr>
        <w:t>理</w:t>
      </w:r>
      <w:r>
        <w:rPr>
          <w:rFonts w:asciiTheme="minorEastAsia" w:hAnsiTheme="minorEastAsia" w:eastAsiaTheme="minorEastAsia"/>
        </w:rPr>
        <w:t>工</w:t>
      </w:r>
      <w:r>
        <w:rPr>
          <w:rFonts w:asciiTheme="minorEastAsia" w:hAnsiTheme="minorEastAsia" w:eastAsiaTheme="minorEastAsia"/>
          <w:spacing w:val="2"/>
        </w:rPr>
        <w:t>作</w:t>
      </w:r>
      <w:r>
        <w:rPr>
          <w:rFonts w:asciiTheme="minorEastAsia" w:hAnsiTheme="minorEastAsia" w:eastAsiaTheme="minorEastAsia"/>
        </w:rPr>
        <w:t>期限</w:t>
      </w:r>
    </w:p>
    <w:p>
      <w:pPr>
        <w:pStyle w:val="4"/>
        <w:spacing w:before="15" w:line="360" w:lineRule="auto"/>
        <w:ind w:right="-625"/>
        <w:rPr>
          <w:rFonts w:asciiTheme="minorEastAsia" w:hAnsiTheme="minorEastAsia" w:eastAsiaTheme="minorEastAsia"/>
        </w:rPr>
      </w:pPr>
      <w:r>
        <w:rPr>
          <w:rFonts w:asciiTheme="minorEastAsia" w:hAnsiTheme="minorEastAsia" w:eastAsiaTheme="minorEastAsia"/>
        </w:rPr>
        <w:t>从监理合同的签订开始，直至</w:t>
      </w:r>
      <w:r>
        <w:rPr>
          <w:rFonts w:hint="eastAsia" w:asciiTheme="minorEastAsia" w:hAnsiTheme="minorEastAsia" w:eastAsiaTheme="minorEastAsia"/>
        </w:rPr>
        <w:t>整体项目</w:t>
      </w:r>
      <w:r>
        <w:rPr>
          <w:rFonts w:asciiTheme="minorEastAsia" w:hAnsiTheme="minorEastAsia" w:eastAsiaTheme="minorEastAsia"/>
        </w:rPr>
        <w:t>完成竣工</w:t>
      </w:r>
      <w:r>
        <w:rPr>
          <w:rFonts w:hint="eastAsia" w:asciiTheme="minorEastAsia" w:hAnsiTheme="minorEastAsia" w:eastAsiaTheme="minorEastAsia"/>
        </w:rPr>
        <w:t>验收</w:t>
      </w:r>
      <w:r>
        <w:rPr>
          <w:rFonts w:asciiTheme="minorEastAsia" w:hAnsiTheme="minorEastAsia" w:eastAsiaTheme="minorEastAsia"/>
        </w:rPr>
        <w:t xml:space="preserve">。 </w:t>
      </w:r>
    </w:p>
    <w:p>
      <w:pPr>
        <w:contextualSpacing/>
        <w:rPr>
          <w:rFonts w:ascii="宋体" w:hAnsi="宋体"/>
          <w:sz w:val="24"/>
          <w:szCs w:val="24"/>
        </w:rPr>
      </w:pPr>
    </w:p>
    <w:p>
      <w:pPr>
        <w:pStyle w:val="24"/>
        <w:rPr>
          <w:rFonts w:hint="eastAsia"/>
          <w:sz w:val="21"/>
          <w:szCs w:val="21"/>
        </w:rPr>
      </w:pPr>
      <w:r>
        <w:rPr>
          <w:rFonts w:hint="eastAsia"/>
          <w:sz w:val="21"/>
          <w:szCs w:val="21"/>
        </w:rPr>
        <w:t>预算</w:t>
      </w:r>
      <w:r>
        <w:rPr>
          <w:sz w:val="21"/>
          <w:szCs w:val="21"/>
        </w:rPr>
        <w:t>：</w:t>
      </w:r>
      <w:r>
        <w:rPr>
          <w:rFonts w:hint="eastAsia"/>
          <w:sz w:val="21"/>
          <w:szCs w:val="21"/>
        </w:rPr>
        <w:t>33万元</w:t>
      </w:r>
    </w:p>
    <w:p>
      <w:pPr>
        <w:snapToGrid w:val="0"/>
        <w:spacing w:line="360" w:lineRule="auto"/>
        <w:jc w:val="left"/>
      </w:pPr>
    </w:p>
    <w:p>
      <w:pPr>
        <w:snapToGrid w:val="0"/>
        <w:spacing w:line="360" w:lineRule="auto"/>
        <w:jc w:val="left"/>
        <w:rPr>
          <w:b/>
        </w:rPr>
      </w:pPr>
    </w:p>
    <w:p>
      <w:pPr>
        <w:snapToGrid w:val="0"/>
        <w:spacing w:line="360" w:lineRule="auto"/>
        <w:jc w:val="left"/>
        <w:rPr>
          <w:rFonts w:asciiTheme="minorEastAsia" w:hAnsiTheme="minorEastAsia" w:eastAsiaTheme="minorEastAsia"/>
          <w:szCs w:val="21"/>
        </w:rPr>
      </w:pPr>
      <w:r>
        <w:rPr>
          <w:rFonts w:asciiTheme="minorEastAsia" w:hAnsiTheme="minorEastAsia" w:eastAsiaTheme="minorEastAsia"/>
          <w:szCs w:val="21"/>
        </w:rPr>
        <w:t xml:space="preserve">投标人资格要求： </w:t>
      </w:r>
    </w:p>
    <w:p>
      <w:pPr>
        <w:widowControl/>
        <w:spacing w:line="288" w:lineRule="auto"/>
        <w:jc w:val="left"/>
        <w:rPr>
          <w:rFonts w:asciiTheme="minorEastAsia" w:hAnsiTheme="minorEastAsia" w:eastAsiaTheme="minorEastAsia"/>
          <w:szCs w:val="21"/>
        </w:rPr>
      </w:pPr>
      <w:r>
        <w:rPr>
          <w:rFonts w:hint="eastAsia" w:asciiTheme="minorEastAsia" w:hAnsiTheme="minorEastAsia" w:eastAsiaTheme="minorEastAsia"/>
          <w:szCs w:val="21"/>
        </w:rPr>
        <w:t>1.在中华人民共和国注册的具有相关经营范围</w:t>
      </w:r>
      <w:r>
        <w:rPr>
          <w:rFonts w:asciiTheme="minorEastAsia" w:hAnsiTheme="minorEastAsia" w:eastAsiaTheme="minorEastAsia"/>
          <w:szCs w:val="21"/>
        </w:rPr>
        <w:t>的具有独立民事责任的法人，并取得合法企业工商营业执照</w:t>
      </w:r>
      <w:r>
        <w:rPr>
          <w:rFonts w:hint="eastAsia" w:asciiTheme="minorEastAsia" w:hAnsiTheme="minorEastAsia" w:eastAsiaTheme="minorEastAsia"/>
          <w:szCs w:val="21"/>
        </w:rPr>
        <w:t>。</w:t>
      </w:r>
    </w:p>
    <w:p>
      <w:pPr>
        <w:widowControl/>
        <w:spacing w:line="288" w:lineRule="auto"/>
        <w:jc w:val="left"/>
        <w:rPr>
          <w:rFonts w:cs="宋体" w:asciiTheme="minorEastAsia" w:hAnsiTheme="minorEastAsia" w:eastAsiaTheme="minorEastAsia"/>
          <w:color w:val="020001"/>
          <w:kern w:val="0"/>
          <w:szCs w:val="21"/>
        </w:rPr>
      </w:pPr>
      <w:r>
        <w:rPr>
          <w:rFonts w:hint="eastAsia" w:asciiTheme="minorEastAsia" w:hAnsiTheme="minorEastAsia" w:eastAsiaTheme="minorEastAsia"/>
          <w:szCs w:val="21"/>
        </w:rPr>
        <w:t>2.若投标人不是制造商，须提供制造商或</w:t>
      </w:r>
      <w:r>
        <w:fldChar w:fldCharType="begin"/>
      </w:r>
      <w:r>
        <w:instrText xml:space="preserve"> HYPERLINK "http://expo.pharmnet.com.cn/agent_product/" \o "代理" </w:instrText>
      </w:r>
      <w:r>
        <w:fldChar w:fldCharType="separate"/>
      </w:r>
      <w:r>
        <w:rPr>
          <w:rFonts w:hint="eastAsia" w:asciiTheme="minorEastAsia" w:hAnsiTheme="minorEastAsia" w:eastAsiaTheme="minorEastAsia"/>
          <w:szCs w:val="21"/>
        </w:rPr>
        <w:t>代理</w:t>
      </w:r>
      <w:r>
        <w:rPr>
          <w:rFonts w:hint="eastAsia" w:asciiTheme="minorEastAsia" w:hAnsiTheme="minorEastAsia" w:eastAsiaTheme="minorEastAsia"/>
          <w:szCs w:val="21"/>
        </w:rPr>
        <w:fldChar w:fldCharType="end"/>
      </w:r>
      <w:r>
        <w:rPr>
          <w:rFonts w:hint="eastAsia" w:asciiTheme="minorEastAsia" w:hAnsiTheme="minorEastAsia" w:eastAsiaTheme="minorEastAsia"/>
          <w:szCs w:val="21"/>
        </w:rPr>
        <w:t>商出具对所投产品的合法授权。</w:t>
      </w:r>
    </w:p>
    <w:p>
      <w:pPr>
        <w:widowControl/>
        <w:spacing w:line="288" w:lineRule="auto"/>
        <w:jc w:val="left"/>
        <w:rPr>
          <w:rFonts w:cs="宋体" w:asciiTheme="minorEastAsia" w:hAnsiTheme="minorEastAsia" w:eastAsiaTheme="minorEastAsia"/>
          <w:color w:val="020001"/>
          <w:kern w:val="0"/>
          <w:szCs w:val="21"/>
        </w:rPr>
      </w:pPr>
      <w:r>
        <w:rPr>
          <w:rFonts w:hint="eastAsia" w:asciiTheme="minorEastAsia" w:hAnsiTheme="minorEastAsia" w:eastAsiaTheme="minorEastAsia"/>
          <w:szCs w:val="21"/>
        </w:rPr>
        <w:t>3.投标人必须具有履行合同及具备供货保障能力。</w:t>
      </w:r>
    </w:p>
    <w:p>
      <w:pPr>
        <w:widowControl/>
        <w:spacing w:line="288" w:lineRule="auto"/>
        <w:jc w:val="left"/>
        <w:rPr>
          <w:rFonts w:asciiTheme="minorEastAsia" w:hAnsiTheme="minorEastAsia" w:eastAsiaTheme="minorEastAsia"/>
          <w:szCs w:val="21"/>
        </w:rPr>
      </w:pPr>
      <w:r>
        <w:rPr>
          <w:rFonts w:hint="eastAsia" w:asciiTheme="minorEastAsia" w:hAnsiTheme="minorEastAsia" w:eastAsiaTheme="minorEastAsia"/>
          <w:szCs w:val="21"/>
        </w:rPr>
        <w:t>4.投标人在参加本项招标采购活动的最近两年内，在经营活动中无严重违法记录。</w:t>
      </w:r>
    </w:p>
    <w:p>
      <w:pPr>
        <w:widowControl/>
        <w:spacing w:line="288" w:lineRule="auto"/>
        <w:jc w:val="left"/>
        <w:rPr>
          <w:rFonts w:cs="宋体" w:asciiTheme="minorEastAsia" w:hAnsiTheme="minorEastAsia" w:eastAsiaTheme="minorEastAsia"/>
          <w:color w:val="020001"/>
          <w:kern w:val="0"/>
          <w:szCs w:val="21"/>
        </w:rPr>
      </w:pPr>
      <w:r>
        <w:rPr>
          <w:rFonts w:hint="eastAsia" w:asciiTheme="minorEastAsia" w:hAnsiTheme="minorEastAsia" w:eastAsiaTheme="minorEastAsia"/>
          <w:szCs w:val="21"/>
        </w:rPr>
        <w:t>5.投标人必须提供本项目用户所在地的售后服务。</w:t>
      </w:r>
    </w:p>
    <w:p>
      <w:pPr>
        <w:widowControl/>
        <w:spacing w:line="288" w:lineRule="auto"/>
        <w:jc w:val="left"/>
        <w:rPr>
          <w:rFonts w:asciiTheme="minorEastAsia" w:hAnsiTheme="minorEastAsia" w:eastAsiaTheme="minorEastAsia"/>
          <w:szCs w:val="21"/>
        </w:rPr>
      </w:pPr>
      <w:r>
        <w:rPr>
          <w:rFonts w:hint="eastAsia" w:asciiTheme="minorEastAsia" w:hAnsiTheme="minorEastAsia" w:eastAsiaTheme="minorEastAsia"/>
          <w:szCs w:val="21"/>
        </w:rPr>
        <w:t>6.法律、法规规定的其他条件。</w:t>
      </w:r>
    </w:p>
    <w:p>
      <w:pPr>
        <w:widowControl/>
        <w:spacing w:line="288" w:lineRule="auto"/>
        <w:jc w:val="left"/>
        <w:rPr>
          <w:rFonts w:asciiTheme="minorEastAsia" w:hAnsiTheme="minorEastAsia" w:eastAsiaTheme="minorEastAsia"/>
          <w:szCs w:val="21"/>
        </w:rPr>
      </w:pPr>
      <w:r>
        <w:rPr>
          <w:rFonts w:hint="eastAsia" w:asciiTheme="minorEastAsia" w:hAnsiTheme="minorEastAsia" w:eastAsiaTheme="minorEastAsia"/>
          <w:szCs w:val="21"/>
        </w:rPr>
        <w:t>7.投标人必须提供已有同类产品的用户名单。</w:t>
      </w:r>
    </w:p>
    <w:p>
      <w:pPr>
        <w:spacing w:before="156" w:beforeLines="50" w:line="288" w:lineRule="auto"/>
        <w:jc w:val="left"/>
        <w:rPr>
          <w:rFonts w:asciiTheme="minorEastAsia" w:hAnsiTheme="minorEastAsia" w:eastAsiaTheme="minorEastAsia"/>
          <w:szCs w:val="21"/>
        </w:rPr>
      </w:pPr>
      <w:r>
        <w:rPr>
          <w:rFonts w:hint="eastAsia" w:asciiTheme="minorEastAsia" w:hAnsiTheme="minorEastAsia" w:eastAsiaTheme="minorEastAsia"/>
          <w:color w:val="000000"/>
          <w:szCs w:val="21"/>
        </w:rPr>
        <w:t>三、我院自行组织采购，院内公开招标。</w:t>
      </w:r>
      <w:r>
        <w:rPr>
          <w:rFonts w:asciiTheme="minorEastAsia" w:hAnsiTheme="minorEastAsia" w:eastAsiaTheme="minorEastAsia"/>
          <w:szCs w:val="21"/>
        </w:rPr>
        <w:t>现邀请</w:t>
      </w:r>
      <w:r>
        <w:rPr>
          <w:rFonts w:hint="eastAsia" w:asciiTheme="minorEastAsia" w:hAnsiTheme="minorEastAsia" w:eastAsiaTheme="minorEastAsia"/>
          <w:szCs w:val="21"/>
        </w:rPr>
        <w:t>有兴趣的投标人</w:t>
      </w:r>
      <w:r>
        <w:rPr>
          <w:rFonts w:asciiTheme="minorEastAsia" w:hAnsiTheme="minorEastAsia" w:eastAsiaTheme="minorEastAsia"/>
          <w:szCs w:val="21"/>
        </w:rPr>
        <w:t>就</w:t>
      </w:r>
      <w:r>
        <w:rPr>
          <w:rFonts w:hint="eastAsia" w:asciiTheme="minorEastAsia" w:hAnsiTheme="minorEastAsia" w:eastAsiaTheme="minorEastAsia"/>
          <w:szCs w:val="21"/>
        </w:rPr>
        <w:t>上述设备</w:t>
      </w:r>
      <w:r>
        <w:rPr>
          <w:rFonts w:asciiTheme="minorEastAsia" w:hAnsiTheme="minorEastAsia" w:eastAsiaTheme="minorEastAsia"/>
          <w:szCs w:val="21"/>
        </w:rPr>
        <w:t>提交投标</w:t>
      </w:r>
      <w:r>
        <w:rPr>
          <w:rFonts w:hint="eastAsia" w:asciiTheme="minorEastAsia" w:hAnsiTheme="minorEastAsia" w:eastAsiaTheme="minorEastAsia"/>
          <w:szCs w:val="21"/>
        </w:rPr>
        <w:t>，请投标公司于开会前将公司资质交给医院联系人进行资质审核</w:t>
      </w:r>
      <w:r>
        <w:rPr>
          <w:rFonts w:asciiTheme="minorEastAsia" w:hAnsiTheme="minorEastAsia" w:eastAsiaTheme="minorEastAsia"/>
          <w:szCs w:val="21"/>
        </w:rPr>
        <w:t>。</w:t>
      </w:r>
    </w:p>
    <w:p>
      <w:pPr>
        <w:pStyle w:val="17"/>
        <w:numPr>
          <w:ilvl w:val="0"/>
          <w:numId w:val="1"/>
        </w:numPr>
        <w:spacing w:before="156" w:beforeLines="50" w:line="288" w:lineRule="auto"/>
        <w:ind w:firstLineChars="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递交投标文件时间、投标截止时间、开标时间及地点：</w:t>
      </w:r>
    </w:p>
    <w:p>
      <w:pPr>
        <w:widowControl/>
        <w:spacing w:line="288" w:lineRule="auto"/>
        <w:jc w:val="left"/>
        <w:rPr>
          <w:rFonts w:asciiTheme="minorEastAsia" w:hAnsiTheme="minorEastAsia" w:eastAsiaTheme="minorEastAsia"/>
          <w:szCs w:val="21"/>
        </w:rPr>
      </w:pPr>
      <w:r>
        <w:rPr>
          <w:rFonts w:hint="eastAsia" w:asciiTheme="minorEastAsia" w:hAnsiTheme="minorEastAsia" w:eastAsiaTheme="minorEastAsia"/>
          <w:szCs w:val="21"/>
        </w:rPr>
        <w:t>1.投标文件：包括生产厂商资质、代理商资质、授权、产品资质、产品彩页、售后服务、技术响应文件、报价单、投标单位法定代表人授权书（需附法人及投标授权人身份证正反面加盖公章并签名）、投标公司信用查询证明，投标</w:t>
      </w:r>
      <w:r>
        <w:rPr>
          <w:rFonts w:asciiTheme="minorEastAsia" w:hAnsiTheme="minorEastAsia" w:eastAsiaTheme="minorEastAsia"/>
          <w:szCs w:val="21"/>
        </w:rPr>
        <w:t>产品的</w:t>
      </w:r>
      <w:r>
        <w:rPr>
          <w:rFonts w:hint="eastAsia" w:asciiTheme="minorEastAsia" w:hAnsiTheme="minorEastAsia" w:eastAsiaTheme="minorEastAsia"/>
          <w:szCs w:val="21"/>
        </w:rPr>
        <w:t>北京三甲医院近三年销售业绩（合同）等。以上文件需加盖公章，文件一正四副共五份需胶封、密封。</w:t>
      </w:r>
    </w:p>
    <w:p>
      <w:pPr>
        <w:widowControl/>
        <w:spacing w:line="288" w:lineRule="auto"/>
        <w:jc w:val="left"/>
        <w:rPr>
          <w:rFonts w:asciiTheme="minorEastAsia" w:hAnsiTheme="minorEastAsia" w:eastAsiaTheme="minorEastAsia"/>
          <w:szCs w:val="21"/>
        </w:rPr>
      </w:pPr>
      <w:r>
        <w:rPr>
          <w:rFonts w:hint="eastAsia" w:asciiTheme="minorEastAsia" w:hAnsiTheme="minorEastAsia" w:eastAsiaTheme="minorEastAsia"/>
          <w:szCs w:val="21"/>
        </w:rPr>
        <w:t>注.投标人可以投一个包或多个包，但不允许拆包投标，即投标人必须对每个包要求的所有货物和服务给予报价，并以包为单位分别独立装订投标文件。每包投标文件正、副本必须分开装订成册。</w:t>
      </w:r>
    </w:p>
    <w:p>
      <w:pPr>
        <w:widowControl/>
        <w:spacing w:line="288" w:lineRule="auto"/>
        <w:jc w:val="left"/>
        <w:rPr>
          <w:rFonts w:asciiTheme="minorEastAsia" w:hAnsiTheme="minorEastAsia" w:eastAsiaTheme="minorEastAsia"/>
          <w:szCs w:val="21"/>
        </w:rPr>
      </w:pPr>
      <w:r>
        <w:rPr>
          <w:rFonts w:hint="eastAsia" w:asciiTheme="minorEastAsia" w:hAnsiTheme="minorEastAsia" w:eastAsiaTheme="minorEastAsia"/>
          <w:szCs w:val="21"/>
        </w:rPr>
        <w:t>2.递交投标文件时间地点：</w:t>
      </w:r>
      <w:r>
        <w:rPr>
          <w:rFonts w:asciiTheme="minorEastAsia" w:hAnsiTheme="minorEastAsia" w:eastAsiaTheme="minorEastAsia"/>
          <w:szCs w:val="21"/>
        </w:rPr>
        <w:t>20</w:t>
      </w:r>
      <w:r>
        <w:rPr>
          <w:rFonts w:hint="eastAsia" w:asciiTheme="minorEastAsia" w:hAnsiTheme="minorEastAsia" w:eastAsiaTheme="minorEastAsia"/>
          <w:szCs w:val="21"/>
        </w:rPr>
        <w:t>22年7月29日9：00（北京时间），眼视光中心二层网真会议室。</w:t>
      </w:r>
    </w:p>
    <w:p>
      <w:pPr>
        <w:widowControl/>
        <w:spacing w:line="288" w:lineRule="auto"/>
        <w:jc w:val="left"/>
        <w:rPr>
          <w:rFonts w:asciiTheme="minorEastAsia" w:hAnsiTheme="minorEastAsia" w:eastAsiaTheme="minorEastAsia"/>
          <w:szCs w:val="21"/>
        </w:rPr>
      </w:pPr>
      <w:r>
        <w:rPr>
          <w:rFonts w:hint="eastAsia" w:asciiTheme="minorEastAsia" w:hAnsiTheme="minorEastAsia" w:eastAsiaTheme="minorEastAsia"/>
          <w:szCs w:val="21"/>
        </w:rPr>
        <w:t>3.投标截止时间：</w:t>
      </w:r>
      <w:r>
        <w:rPr>
          <w:rFonts w:asciiTheme="minorEastAsia" w:hAnsiTheme="minorEastAsia" w:eastAsiaTheme="minorEastAsia"/>
          <w:szCs w:val="21"/>
        </w:rPr>
        <w:t>20</w:t>
      </w:r>
      <w:r>
        <w:rPr>
          <w:rFonts w:hint="eastAsia" w:asciiTheme="minorEastAsia" w:hAnsiTheme="minorEastAsia" w:eastAsiaTheme="minorEastAsia"/>
          <w:szCs w:val="21"/>
        </w:rPr>
        <w:t>22年</w:t>
      </w:r>
      <w:r>
        <w:rPr>
          <w:rFonts w:asciiTheme="minorEastAsia" w:hAnsiTheme="minorEastAsia" w:eastAsiaTheme="minorEastAsia"/>
          <w:szCs w:val="21"/>
        </w:rPr>
        <w:t>7</w:t>
      </w:r>
      <w:r>
        <w:rPr>
          <w:rFonts w:hint="eastAsia" w:asciiTheme="minorEastAsia" w:hAnsiTheme="minorEastAsia" w:eastAsiaTheme="minorEastAsia"/>
          <w:szCs w:val="21"/>
        </w:rPr>
        <w:t>月</w:t>
      </w:r>
      <w:r>
        <w:rPr>
          <w:rFonts w:asciiTheme="minorEastAsia" w:hAnsiTheme="minorEastAsia" w:eastAsiaTheme="minorEastAsia"/>
          <w:szCs w:val="21"/>
        </w:rPr>
        <w:t>29</w:t>
      </w:r>
      <w:r>
        <w:rPr>
          <w:rFonts w:hint="eastAsia" w:asciiTheme="minorEastAsia" w:hAnsiTheme="minorEastAsia" w:eastAsiaTheme="minorEastAsia"/>
          <w:szCs w:val="21"/>
        </w:rPr>
        <w:t>日</w:t>
      </w:r>
      <w:r>
        <w:rPr>
          <w:rFonts w:asciiTheme="minorEastAsia" w:hAnsiTheme="minorEastAsia" w:eastAsiaTheme="minorEastAsia"/>
          <w:szCs w:val="21"/>
        </w:rPr>
        <w:t>9</w:t>
      </w:r>
      <w:r>
        <w:rPr>
          <w:rFonts w:hint="eastAsia" w:asciiTheme="minorEastAsia" w:hAnsiTheme="minorEastAsia" w:eastAsiaTheme="minorEastAsia"/>
          <w:szCs w:val="21"/>
        </w:rPr>
        <w:t>：30（北京时间），逾期不予受理。</w:t>
      </w:r>
    </w:p>
    <w:p>
      <w:pPr>
        <w:widowControl/>
        <w:spacing w:line="288" w:lineRule="auto"/>
        <w:jc w:val="left"/>
        <w:rPr>
          <w:rFonts w:asciiTheme="minorEastAsia" w:hAnsiTheme="minorEastAsia" w:eastAsiaTheme="minorEastAsia"/>
          <w:szCs w:val="21"/>
        </w:rPr>
      </w:pPr>
      <w:r>
        <w:rPr>
          <w:rFonts w:hint="eastAsia" w:asciiTheme="minorEastAsia" w:hAnsiTheme="minorEastAsia" w:eastAsiaTheme="minorEastAsia"/>
          <w:szCs w:val="21"/>
        </w:rPr>
        <w:t>4.开标时间： 2022年</w:t>
      </w:r>
      <w:r>
        <w:rPr>
          <w:rFonts w:asciiTheme="minorEastAsia" w:hAnsiTheme="minorEastAsia" w:eastAsiaTheme="minorEastAsia"/>
          <w:szCs w:val="21"/>
        </w:rPr>
        <w:t>7</w:t>
      </w:r>
      <w:r>
        <w:rPr>
          <w:rFonts w:hint="eastAsia" w:asciiTheme="minorEastAsia" w:hAnsiTheme="minorEastAsia" w:eastAsiaTheme="minorEastAsia"/>
          <w:szCs w:val="21"/>
        </w:rPr>
        <w:t>月</w:t>
      </w:r>
      <w:r>
        <w:rPr>
          <w:rFonts w:asciiTheme="minorEastAsia" w:hAnsiTheme="minorEastAsia" w:eastAsiaTheme="minorEastAsia"/>
          <w:szCs w:val="21"/>
        </w:rPr>
        <w:t>29</w:t>
      </w:r>
      <w:r>
        <w:rPr>
          <w:rFonts w:hint="eastAsia" w:asciiTheme="minorEastAsia" w:hAnsiTheme="minorEastAsia" w:eastAsiaTheme="minorEastAsia"/>
          <w:szCs w:val="21"/>
        </w:rPr>
        <w:t>日13:30（北京时间）。</w:t>
      </w:r>
    </w:p>
    <w:p>
      <w:pPr>
        <w:widowControl/>
        <w:spacing w:line="288" w:lineRule="auto"/>
        <w:jc w:val="left"/>
        <w:rPr>
          <w:rFonts w:asciiTheme="minorEastAsia" w:hAnsiTheme="minorEastAsia" w:eastAsiaTheme="minorEastAsia"/>
          <w:szCs w:val="21"/>
        </w:rPr>
      </w:pPr>
      <w:r>
        <w:rPr>
          <w:rFonts w:hint="eastAsia" w:asciiTheme="minorEastAsia" w:hAnsiTheme="minorEastAsia" w:eastAsiaTheme="minorEastAsia"/>
          <w:szCs w:val="21"/>
        </w:rPr>
        <w:t>5.联系人：谢晓添88324616</w:t>
      </w:r>
    </w:p>
    <w:p>
      <w:pPr>
        <w:widowControl/>
        <w:spacing w:line="288" w:lineRule="auto"/>
        <w:jc w:val="left"/>
        <w:rPr>
          <w:rFonts w:asciiTheme="minorEastAsia" w:hAnsiTheme="minorEastAsia" w:eastAsiaTheme="minorEastAsia"/>
          <w:szCs w:val="21"/>
        </w:rPr>
      </w:pPr>
    </w:p>
    <w:p>
      <w:pPr>
        <w:widowControl/>
        <w:spacing w:line="288" w:lineRule="auto"/>
        <w:jc w:val="left"/>
        <w:rPr>
          <w:rFonts w:ascii="宋体" w:hAnsi="宋体"/>
          <w:szCs w:val="21"/>
        </w:rPr>
      </w:pPr>
      <w:r>
        <w:rPr>
          <w:rFonts w:hint="eastAsia" w:ascii="宋体" w:hAnsi="宋体"/>
          <w:szCs w:val="21"/>
        </w:rPr>
        <w:t>五、评分细则</w:t>
      </w:r>
    </w:p>
    <w:p>
      <w:pPr>
        <w:widowControl/>
        <w:spacing w:line="360" w:lineRule="auto"/>
        <w:ind w:left="600"/>
        <w:jc w:val="center"/>
        <w:rPr>
          <w:rFonts w:ascii="仿宋" w:hAnsi="仿宋" w:eastAsia="仿宋" w:cs="仿宋"/>
          <w:b/>
          <w:sz w:val="32"/>
          <w:szCs w:val="32"/>
        </w:rPr>
      </w:pPr>
      <w:r>
        <w:rPr>
          <w:rFonts w:hint="eastAsia" w:ascii="仿宋" w:hAnsi="仿宋" w:eastAsia="仿宋" w:cs="仿宋"/>
          <w:b/>
          <w:sz w:val="32"/>
          <w:szCs w:val="32"/>
        </w:rPr>
        <w:t>评审因素和指标</w:t>
      </w:r>
    </w:p>
    <w:tbl>
      <w:tblPr>
        <w:tblStyle w:val="10"/>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34"/>
        <w:gridCol w:w="6408"/>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Style w:val="13"/>
                <w:rFonts w:cs="宋体"/>
                <w:kern w:val="0"/>
                <w:sz w:val="24"/>
              </w:rPr>
            </w:pPr>
            <w:r>
              <w:rPr>
                <w:rStyle w:val="13"/>
                <w:rFonts w:hint="eastAsia" w:ascii="仿宋" w:hAnsi="仿宋" w:eastAsia="仿宋" w:cs="宋体"/>
                <w:kern w:val="0"/>
                <w:sz w:val="24"/>
              </w:rPr>
              <w:t>标准</w:t>
            </w:r>
          </w:p>
          <w:p>
            <w:pPr>
              <w:adjustRightInd w:val="0"/>
              <w:snapToGrid w:val="0"/>
              <w:jc w:val="center"/>
              <w:rPr>
                <w:rStyle w:val="13"/>
                <w:rFonts w:ascii="仿宋" w:hAnsi="仿宋" w:eastAsia="仿宋" w:cs="宋体"/>
                <w:b w:val="0"/>
                <w:bCs w:val="0"/>
                <w:kern w:val="0"/>
                <w:sz w:val="24"/>
              </w:rPr>
            </w:pPr>
            <w:r>
              <w:rPr>
                <w:rStyle w:val="13"/>
                <w:rFonts w:hint="eastAsia" w:ascii="仿宋" w:hAnsi="仿宋" w:eastAsia="仿宋" w:cs="宋体"/>
                <w:kern w:val="0"/>
                <w:sz w:val="24"/>
              </w:rPr>
              <w:t>分类</w:t>
            </w:r>
          </w:p>
        </w:tc>
        <w:tc>
          <w:tcPr>
            <w:tcW w:w="7542"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Style w:val="13"/>
                <w:rFonts w:ascii="仿宋" w:hAnsi="仿宋" w:eastAsia="仿宋" w:cs="宋体"/>
                <w:b w:val="0"/>
                <w:bCs w:val="0"/>
                <w:kern w:val="0"/>
                <w:sz w:val="24"/>
              </w:rPr>
            </w:pPr>
            <w:r>
              <w:rPr>
                <w:rStyle w:val="13"/>
                <w:rFonts w:hint="eastAsia" w:ascii="仿宋" w:hAnsi="仿宋" w:eastAsia="仿宋" w:cs="宋体"/>
                <w:kern w:val="0"/>
                <w:sz w:val="24"/>
              </w:rPr>
              <w:t>标准细则</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Style w:val="13"/>
                <w:rFonts w:ascii="仿宋" w:hAnsi="仿宋" w:eastAsia="仿宋" w:cs="宋体"/>
                <w:b w:val="0"/>
                <w:bCs w:val="0"/>
                <w:kern w:val="0"/>
                <w:sz w:val="24"/>
              </w:rPr>
            </w:pPr>
            <w:r>
              <w:rPr>
                <w:rStyle w:val="13"/>
                <w:rFonts w:hint="eastAsia" w:ascii="仿宋" w:hAnsi="仿宋" w:eastAsia="仿宋" w:cs="宋体"/>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报价</w:t>
            </w:r>
          </w:p>
          <w:p>
            <w:pPr>
              <w:adjustRightInd w:val="0"/>
              <w:snapToGrid w:val="0"/>
              <w:jc w:val="center"/>
              <w:rPr>
                <w:rFonts w:ascii="仿宋" w:hAnsi="仿宋" w:eastAsia="仿宋" w:cs="宋体"/>
                <w:kern w:val="0"/>
                <w:sz w:val="24"/>
              </w:rPr>
            </w:pPr>
            <w:r>
              <w:rPr>
                <w:rFonts w:hint="eastAsia" w:ascii="仿宋" w:hAnsi="仿宋" w:eastAsia="仿宋" w:cs="宋体"/>
                <w:kern w:val="0"/>
                <w:sz w:val="24"/>
              </w:rPr>
              <w:t>(10分)</w:t>
            </w:r>
          </w:p>
        </w:tc>
        <w:tc>
          <w:tcPr>
            <w:tcW w:w="7542" w:type="dxa"/>
            <w:gridSpan w:val="2"/>
            <w:tcBorders>
              <w:top w:val="single" w:color="auto" w:sz="4" w:space="0"/>
              <w:left w:val="single" w:color="auto" w:sz="4" w:space="0"/>
              <w:bottom w:val="single" w:color="auto" w:sz="4" w:space="0"/>
              <w:right w:val="single" w:color="auto" w:sz="4" w:space="0"/>
            </w:tcBorders>
          </w:tcPr>
          <w:p>
            <w:pPr>
              <w:widowControl/>
              <w:rPr>
                <w:rFonts w:ascii="仿宋" w:hAnsi="仿宋" w:eastAsia="仿宋" w:cs="宋体"/>
                <w:kern w:val="0"/>
                <w:sz w:val="24"/>
              </w:rPr>
            </w:pPr>
            <w:r>
              <w:rPr>
                <w:rFonts w:hint="eastAsia" w:ascii="仿宋" w:hAnsi="仿宋" w:eastAsia="仿宋" w:cs="宋体"/>
                <w:kern w:val="0"/>
                <w:sz w:val="24"/>
              </w:rPr>
              <w:t>价格得分=（评标基准价/报价）×价格权重（10%）×100</w:t>
            </w:r>
          </w:p>
          <w:p>
            <w:pPr>
              <w:widowControl/>
              <w:rPr>
                <w:rFonts w:ascii="仿宋" w:hAnsi="仿宋" w:eastAsia="仿宋" w:cs="宋体"/>
                <w:kern w:val="0"/>
                <w:sz w:val="24"/>
              </w:rPr>
            </w:pPr>
            <w:r>
              <w:rPr>
                <w:rFonts w:hint="eastAsia" w:ascii="仿宋" w:hAnsi="仿宋" w:eastAsia="仿宋" w:cs="宋体"/>
                <w:kern w:val="0"/>
                <w:sz w:val="24"/>
              </w:rPr>
              <w:t>备注：</w:t>
            </w:r>
          </w:p>
          <w:p>
            <w:pPr>
              <w:pStyle w:val="17"/>
              <w:widowControl/>
              <w:numPr>
                <w:ilvl w:val="0"/>
                <w:numId w:val="2"/>
              </w:numPr>
              <w:ind w:firstLineChars="0"/>
              <w:rPr>
                <w:rFonts w:ascii="仿宋" w:hAnsi="仿宋" w:eastAsia="仿宋" w:cs="宋体"/>
                <w:kern w:val="0"/>
                <w:sz w:val="24"/>
              </w:rPr>
            </w:pPr>
            <w:r>
              <w:rPr>
                <w:rFonts w:hint="eastAsia" w:ascii="仿宋" w:hAnsi="仿宋" w:eastAsia="仿宋" w:cs="宋体"/>
                <w:kern w:val="0"/>
                <w:sz w:val="24"/>
              </w:rPr>
              <w:t>满足采购文件要求且价格最低的、报价为评标基准价，其价格分为满分。价格得分计算结果保留至小数点后2位，四舍五入；</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宋体"/>
                <w:kern w:val="0"/>
                <w:sz w:val="24"/>
              </w:rPr>
            </w:pPr>
            <w:r>
              <w:rPr>
                <w:rFonts w:hint="eastAsia" w:ascii="仿宋" w:hAnsi="仿宋" w:eastAsia="仿宋" w:cs="宋体"/>
                <w:kern w:val="0"/>
                <w:sz w:val="24"/>
              </w:rPr>
              <w:t>供应商能力评价</w:t>
            </w:r>
          </w:p>
          <w:p>
            <w:pPr>
              <w:adjustRightInd w:val="0"/>
              <w:snapToGrid w:val="0"/>
              <w:jc w:val="center"/>
              <w:rPr>
                <w:rFonts w:ascii="仿宋" w:hAnsi="仿宋" w:eastAsia="仿宋" w:cs="宋体"/>
                <w:kern w:val="0"/>
                <w:sz w:val="24"/>
              </w:rPr>
            </w:pPr>
            <w:r>
              <w:rPr>
                <w:rFonts w:hint="eastAsia" w:ascii="仿宋" w:hAnsi="仿宋" w:eastAsia="仿宋" w:cs="宋体"/>
                <w:kern w:val="0"/>
                <w:sz w:val="24"/>
              </w:rPr>
              <w:t>(14分）</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体系认证</w:t>
            </w:r>
          </w:p>
        </w:tc>
        <w:tc>
          <w:tcPr>
            <w:tcW w:w="6408"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s="宋体"/>
                <w:kern w:val="0"/>
                <w:sz w:val="24"/>
              </w:rPr>
            </w:pPr>
            <w:r>
              <w:rPr>
                <w:rFonts w:hint="eastAsia" w:ascii="仿宋" w:hAnsi="仿宋" w:eastAsia="仿宋" w:cs="宋体"/>
                <w:kern w:val="0"/>
                <w:sz w:val="24"/>
              </w:rPr>
              <w:t>供应商同时具有质量管理体系认证证书、环境管理体系认证证书、职业健康安全体系认证证书，且认证范围覆盖信息工程监理的得4分，少一项不得分；</w:t>
            </w:r>
          </w:p>
          <w:p>
            <w:pPr>
              <w:adjustRightInd w:val="0"/>
              <w:snapToGrid w:val="0"/>
              <w:rPr>
                <w:rFonts w:ascii="仿宋" w:hAnsi="仿宋" w:eastAsia="仿宋" w:cs="宋体"/>
                <w:kern w:val="0"/>
                <w:sz w:val="24"/>
              </w:rPr>
            </w:pPr>
            <w:r>
              <w:rPr>
                <w:rFonts w:hint="eastAsia" w:ascii="仿宋" w:hAnsi="仿宋" w:eastAsia="仿宋" w:cs="宋体"/>
                <w:kern w:val="0"/>
                <w:sz w:val="24"/>
              </w:rPr>
              <w:t>具有信息安全管理体系认证证书且认证范围覆盖信息工程监理的得2分。</w:t>
            </w:r>
          </w:p>
          <w:p>
            <w:pPr>
              <w:adjustRightInd w:val="0"/>
              <w:snapToGrid w:val="0"/>
              <w:rPr>
                <w:rFonts w:ascii="仿宋" w:hAnsi="仿宋" w:eastAsia="仿宋" w:cs="宋体"/>
                <w:kern w:val="0"/>
                <w:sz w:val="24"/>
              </w:rPr>
            </w:pPr>
            <w:r>
              <w:rPr>
                <w:rFonts w:hint="eastAsia" w:ascii="仿宋" w:hAnsi="仿宋" w:eastAsia="仿宋" w:cs="宋体"/>
                <w:kern w:val="0"/>
                <w:sz w:val="24"/>
              </w:rPr>
              <w:t>具有信息技术服务管理体系认证证书且认证范围覆盖信息工程监理的得2分；</w:t>
            </w:r>
          </w:p>
          <w:p>
            <w:pPr>
              <w:adjustRightInd w:val="0"/>
              <w:snapToGrid w:val="0"/>
              <w:rPr>
                <w:rFonts w:ascii="仿宋" w:hAnsi="仿宋" w:eastAsia="仿宋" w:cs="宋体"/>
                <w:kern w:val="0"/>
                <w:sz w:val="24"/>
              </w:rPr>
            </w:pPr>
            <w:r>
              <w:rPr>
                <w:rFonts w:hint="eastAsia" w:ascii="仿宋" w:hAnsi="仿宋" w:eastAsia="仿宋" w:cs="宋体"/>
                <w:kern w:val="0"/>
                <w:sz w:val="24"/>
              </w:rPr>
              <w:t>（以上证书提供复印件）</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监理业绩</w:t>
            </w:r>
          </w:p>
        </w:tc>
        <w:tc>
          <w:tcPr>
            <w:tcW w:w="6408"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s="宋体"/>
                <w:kern w:val="0"/>
                <w:sz w:val="24"/>
              </w:rPr>
            </w:pPr>
            <w:r>
              <w:rPr>
                <w:rFonts w:hint="eastAsia" w:ascii="仿宋" w:hAnsi="仿宋" w:eastAsia="仿宋" w:cs="宋体"/>
                <w:kern w:val="0"/>
                <w:sz w:val="24"/>
              </w:rPr>
              <w:t>2018年1月1日以后签署的监理过或正在监理的医院类似信息化监理项目，每个业绩得0.5分，最高得6分。</w:t>
            </w:r>
          </w:p>
          <w:p>
            <w:pPr>
              <w:adjustRightInd w:val="0"/>
              <w:snapToGrid w:val="0"/>
              <w:rPr>
                <w:rFonts w:ascii="仿宋" w:hAnsi="仿宋" w:eastAsia="仿宋" w:cs="宋体"/>
                <w:kern w:val="0"/>
                <w:sz w:val="24"/>
              </w:rPr>
            </w:pPr>
            <w:r>
              <w:rPr>
                <w:rFonts w:hint="eastAsia" w:ascii="仿宋" w:hAnsi="仿宋" w:eastAsia="仿宋"/>
                <w:sz w:val="24"/>
              </w:rPr>
              <w:t>（需提供合同首页、盖章页、关键服务内容页的复印件）。</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监理</w:t>
            </w:r>
          </w:p>
          <w:p>
            <w:pPr>
              <w:adjustRightInd w:val="0"/>
              <w:snapToGrid w:val="0"/>
              <w:jc w:val="center"/>
              <w:rPr>
                <w:rFonts w:ascii="仿宋" w:hAnsi="仿宋" w:eastAsia="仿宋" w:cs="宋体"/>
                <w:kern w:val="0"/>
                <w:sz w:val="24"/>
              </w:rPr>
            </w:pPr>
            <w:r>
              <w:rPr>
                <w:rFonts w:hint="eastAsia" w:ascii="仿宋" w:hAnsi="仿宋" w:eastAsia="仿宋" w:cs="宋体"/>
                <w:kern w:val="0"/>
                <w:sz w:val="24"/>
              </w:rPr>
              <w:t>大纲</w:t>
            </w:r>
          </w:p>
          <w:p>
            <w:pPr>
              <w:adjustRightInd w:val="0"/>
              <w:snapToGrid w:val="0"/>
              <w:jc w:val="center"/>
              <w:rPr>
                <w:rFonts w:ascii="仿宋" w:hAnsi="仿宋" w:eastAsia="仿宋" w:cs="宋体"/>
                <w:kern w:val="0"/>
                <w:sz w:val="24"/>
              </w:rPr>
            </w:pPr>
            <w:r>
              <w:rPr>
                <w:rFonts w:hint="eastAsia" w:ascii="仿宋" w:hAnsi="仿宋" w:eastAsia="仿宋" w:cs="宋体"/>
                <w:kern w:val="0"/>
                <w:sz w:val="24"/>
              </w:rPr>
              <w:t>(56分)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24"/>
              </w:rPr>
            </w:pPr>
            <w:r>
              <w:rPr>
                <w:rFonts w:hint="eastAsia" w:ascii="仿宋" w:hAnsi="仿宋" w:eastAsia="仿宋" w:cs="宋体"/>
                <w:kern w:val="0"/>
                <w:sz w:val="24"/>
              </w:rPr>
              <w:t>对本项目的难点及关键点的分析</w:t>
            </w:r>
          </w:p>
        </w:tc>
        <w:tc>
          <w:tcPr>
            <w:tcW w:w="6408"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sz w:val="24"/>
              </w:rPr>
            </w:pPr>
            <w:r>
              <w:rPr>
                <w:rFonts w:hint="eastAsia" w:ascii="仿宋" w:hAnsi="仿宋" w:eastAsia="仿宋"/>
                <w:bCs/>
                <w:sz w:val="24"/>
              </w:rPr>
              <w:t>根据目前的现状及</w:t>
            </w:r>
            <w:r>
              <w:rPr>
                <w:rFonts w:hint="eastAsia" w:ascii="仿宋" w:hAnsi="仿宋" w:eastAsia="仿宋"/>
                <w:sz w:val="24"/>
              </w:rPr>
              <w:t>建设要求，结合项目特点，分析本监理项目的难点及关键点。</w:t>
            </w:r>
          </w:p>
          <w:p>
            <w:pPr>
              <w:adjustRightInd w:val="0"/>
              <w:snapToGrid w:val="0"/>
              <w:rPr>
                <w:rFonts w:ascii="仿宋" w:hAnsi="仿宋" w:eastAsia="仿宋"/>
                <w:bCs/>
                <w:sz w:val="24"/>
              </w:rPr>
            </w:pPr>
            <w:r>
              <w:rPr>
                <w:rFonts w:hint="eastAsia" w:ascii="仿宋" w:hAnsi="仿宋" w:eastAsia="仿宋"/>
                <w:bCs/>
                <w:sz w:val="24"/>
              </w:rPr>
              <w:t>分析出难点及关键点并提出有效的解决方案，得4分；</w:t>
            </w:r>
          </w:p>
          <w:p>
            <w:pPr>
              <w:adjustRightInd w:val="0"/>
              <w:snapToGrid w:val="0"/>
              <w:rPr>
                <w:rFonts w:ascii="仿宋" w:hAnsi="仿宋" w:eastAsia="仿宋"/>
                <w:bCs/>
                <w:sz w:val="24"/>
              </w:rPr>
            </w:pPr>
            <w:r>
              <w:rPr>
                <w:rFonts w:hint="eastAsia" w:ascii="仿宋" w:hAnsi="仿宋" w:eastAsia="仿宋"/>
                <w:bCs/>
                <w:sz w:val="24"/>
              </w:rPr>
              <w:t>能分析出难点及关键点，解决方案一般，得2分；</w:t>
            </w:r>
          </w:p>
          <w:p>
            <w:pPr>
              <w:adjustRightInd w:val="0"/>
              <w:snapToGrid w:val="0"/>
              <w:rPr>
                <w:rFonts w:ascii="仿宋" w:hAnsi="仿宋" w:eastAsia="仿宋" w:cs="宋体"/>
                <w:kern w:val="0"/>
                <w:sz w:val="24"/>
              </w:rPr>
            </w:pPr>
            <w:r>
              <w:rPr>
                <w:rFonts w:hint="eastAsia" w:ascii="仿宋" w:hAnsi="仿宋" w:eastAsia="仿宋"/>
                <w:bCs/>
                <w:sz w:val="24"/>
              </w:rPr>
              <w:t>分析出相关问题，但不能准确抓住难点及关键点，得1分；</w:t>
            </w:r>
            <w:r>
              <w:rPr>
                <w:rFonts w:hint="eastAsia" w:ascii="仿宋" w:hAnsi="仿宋" w:eastAsia="仿宋"/>
                <w:sz w:val="24"/>
              </w:rPr>
              <w:t>未提供得0分。</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24"/>
              </w:rPr>
            </w:pPr>
            <w:r>
              <w:rPr>
                <w:rFonts w:hint="eastAsia" w:ascii="仿宋" w:hAnsi="仿宋" w:eastAsia="仿宋" w:cs="宋体"/>
                <w:kern w:val="0"/>
                <w:sz w:val="24"/>
              </w:rPr>
              <w:t>信息化工程组织以及监理总体方案</w:t>
            </w:r>
          </w:p>
        </w:tc>
        <w:tc>
          <w:tcPr>
            <w:tcW w:w="6408"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仿宋" w:hAnsi="仿宋" w:eastAsia="仿宋"/>
                <w:sz w:val="24"/>
              </w:rPr>
            </w:pPr>
            <w:r>
              <w:rPr>
                <w:rFonts w:hint="eastAsia" w:ascii="仿宋" w:hAnsi="仿宋" w:eastAsia="仿宋"/>
                <w:kern w:val="0"/>
                <w:sz w:val="24"/>
              </w:rPr>
              <w:t>理解全面清晰，有针对性、框架完整</w:t>
            </w:r>
            <w:r>
              <w:rPr>
                <w:rFonts w:hint="eastAsia" w:ascii="仿宋" w:hAnsi="仿宋" w:eastAsia="仿宋"/>
                <w:sz w:val="24"/>
              </w:rPr>
              <w:t>，实质性响应程度完全满足采购文件需要求的得6分；</w:t>
            </w:r>
          </w:p>
          <w:p>
            <w:pPr>
              <w:widowControl/>
              <w:spacing w:line="276" w:lineRule="auto"/>
              <w:jc w:val="left"/>
              <w:rPr>
                <w:rFonts w:ascii="仿宋" w:hAnsi="仿宋" w:eastAsia="仿宋"/>
                <w:sz w:val="24"/>
              </w:rPr>
            </w:pPr>
            <w:r>
              <w:rPr>
                <w:rFonts w:hint="eastAsia" w:ascii="仿宋" w:hAnsi="仿宋" w:eastAsia="仿宋"/>
                <w:kern w:val="0"/>
                <w:sz w:val="24"/>
              </w:rPr>
              <w:t>理解较清晰，框架较完整</w:t>
            </w:r>
            <w:r>
              <w:rPr>
                <w:rFonts w:hint="eastAsia" w:ascii="仿宋" w:hAnsi="仿宋" w:eastAsia="仿宋"/>
                <w:sz w:val="24"/>
              </w:rPr>
              <w:t>得3分；</w:t>
            </w:r>
          </w:p>
          <w:p>
            <w:pPr>
              <w:widowControl/>
              <w:spacing w:line="276" w:lineRule="auto"/>
              <w:jc w:val="left"/>
              <w:rPr>
                <w:rFonts w:ascii="仿宋" w:hAnsi="仿宋" w:eastAsia="仿宋"/>
                <w:sz w:val="24"/>
              </w:rPr>
            </w:pPr>
            <w:r>
              <w:rPr>
                <w:rFonts w:hint="eastAsia" w:ascii="仿宋" w:hAnsi="仿宋" w:eastAsia="仿宋" w:cs="宋体"/>
                <w:kern w:val="0"/>
                <w:sz w:val="24"/>
              </w:rPr>
              <w:t>理解不清晰，不能满足项目需要</w:t>
            </w:r>
            <w:r>
              <w:rPr>
                <w:rFonts w:hint="eastAsia" w:ascii="仿宋" w:hAnsi="仿宋" w:eastAsia="仿宋"/>
                <w:sz w:val="24"/>
              </w:rPr>
              <w:t>得1分；</w:t>
            </w:r>
          </w:p>
          <w:p>
            <w:pPr>
              <w:widowControl/>
              <w:spacing w:line="276" w:lineRule="auto"/>
              <w:jc w:val="left"/>
              <w:rPr>
                <w:rFonts w:ascii="仿宋" w:hAnsi="仿宋" w:eastAsia="仿宋" w:cs="宋体"/>
                <w:kern w:val="0"/>
                <w:sz w:val="24"/>
              </w:rPr>
            </w:pPr>
            <w:r>
              <w:rPr>
                <w:rFonts w:hint="eastAsia" w:ascii="仿宋" w:hAnsi="仿宋" w:eastAsia="仿宋"/>
                <w:sz w:val="24"/>
              </w:rPr>
              <w:t>未提供得0分。</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24"/>
              </w:rPr>
            </w:pPr>
            <w:r>
              <w:rPr>
                <w:rFonts w:hint="eastAsia" w:ascii="仿宋" w:hAnsi="仿宋" w:eastAsia="仿宋" w:cs="宋体"/>
                <w:kern w:val="0"/>
                <w:sz w:val="24"/>
              </w:rPr>
              <w:t>信息化工程质量控制方案</w:t>
            </w:r>
          </w:p>
        </w:tc>
        <w:tc>
          <w:tcPr>
            <w:tcW w:w="6408"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sz w:val="24"/>
              </w:rPr>
            </w:pPr>
            <w:r>
              <w:rPr>
                <w:rFonts w:hint="eastAsia" w:ascii="仿宋" w:hAnsi="仿宋" w:eastAsia="仿宋"/>
                <w:sz w:val="24"/>
              </w:rPr>
              <w:t>其中至少包括质量控制目标方法措施、采购的质量控制、应用系统建设的质量控制、保修期与培训的质量控制、移交的质量控制等，实质性响应程度完全满足采购文件要求的得5分；</w:t>
            </w:r>
          </w:p>
          <w:p>
            <w:pPr>
              <w:adjustRightInd w:val="0"/>
              <w:snapToGrid w:val="0"/>
              <w:rPr>
                <w:rFonts w:ascii="仿宋" w:hAnsi="仿宋" w:eastAsia="仿宋"/>
                <w:sz w:val="24"/>
              </w:rPr>
            </w:pPr>
            <w:r>
              <w:rPr>
                <w:rFonts w:hint="eastAsia" w:ascii="仿宋" w:hAnsi="仿宋" w:eastAsia="仿宋"/>
                <w:sz w:val="24"/>
              </w:rPr>
              <w:t>实质性响应程度基本满足采购文件需要求的得3分；</w:t>
            </w:r>
          </w:p>
          <w:p>
            <w:pPr>
              <w:adjustRightInd w:val="0"/>
              <w:snapToGrid w:val="0"/>
              <w:rPr>
                <w:rFonts w:ascii="仿宋" w:hAnsi="仿宋" w:eastAsia="仿宋"/>
                <w:sz w:val="24"/>
              </w:rPr>
            </w:pPr>
            <w:r>
              <w:rPr>
                <w:rFonts w:hint="eastAsia" w:ascii="仿宋" w:hAnsi="仿宋" w:eastAsia="仿宋"/>
                <w:sz w:val="24"/>
              </w:rPr>
              <w:t>实质性响应程度差的得1分；</w:t>
            </w:r>
          </w:p>
          <w:p>
            <w:pPr>
              <w:adjustRightInd w:val="0"/>
              <w:snapToGrid w:val="0"/>
              <w:rPr>
                <w:rFonts w:ascii="仿宋" w:hAnsi="仿宋" w:eastAsia="仿宋" w:cs="宋体"/>
                <w:kern w:val="0"/>
                <w:sz w:val="24"/>
              </w:rPr>
            </w:pPr>
            <w:r>
              <w:rPr>
                <w:rFonts w:hint="eastAsia" w:ascii="仿宋" w:hAnsi="仿宋" w:eastAsia="仿宋"/>
                <w:sz w:val="24"/>
              </w:rPr>
              <w:t>未提供的得0分。</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24"/>
              </w:rPr>
            </w:pPr>
            <w:r>
              <w:rPr>
                <w:rFonts w:hint="eastAsia" w:ascii="仿宋" w:hAnsi="仿宋" w:eastAsia="仿宋" w:cs="宋体"/>
                <w:kern w:val="0"/>
                <w:sz w:val="24"/>
              </w:rPr>
              <w:t>信息化工程进度控制方案</w:t>
            </w:r>
          </w:p>
        </w:tc>
        <w:tc>
          <w:tcPr>
            <w:tcW w:w="6408"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仿宋" w:hAnsi="仿宋" w:eastAsia="仿宋"/>
                <w:sz w:val="24"/>
              </w:rPr>
            </w:pPr>
            <w:r>
              <w:rPr>
                <w:rFonts w:hint="eastAsia" w:ascii="仿宋" w:hAnsi="仿宋" w:eastAsia="仿宋"/>
                <w:sz w:val="24"/>
              </w:rPr>
              <w:t>其中至少包括进度控制目标、进度控制流程、进度控制方法、进度控制措施、进度变更控制等，实质性响应程度完全满足采购文件需要求的得5分；</w:t>
            </w:r>
          </w:p>
          <w:p>
            <w:pPr>
              <w:widowControl/>
              <w:spacing w:line="276" w:lineRule="auto"/>
              <w:jc w:val="left"/>
              <w:rPr>
                <w:rFonts w:ascii="仿宋" w:hAnsi="仿宋" w:eastAsia="仿宋"/>
                <w:sz w:val="24"/>
              </w:rPr>
            </w:pPr>
            <w:r>
              <w:rPr>
                <w:rFonts w:hint="eastAsia" w:ascii="仿宋" w:hAnsi="仿宋" w:eastAsia="仿宋"/>
                <w:sz w:val="24"/>
              </w:rPr>
              <w:t>实质性响应程度基本满足采购文件需要求的得3分；</w:t>
            </w:r>
          </w:p>
          <w:p>
            <w:pPr>
              <w:widowControl/>
              <w:spacing w:line="276" w:lineRule="auto"/>
              <w:jc w:val="left"/>
              <w:rPr>
                <w:rFonts w:ascii="仿宋" w:hAnsi="仿宋" w:eastAsia="仿宋"/>
                <w:sz w:val="24"/>
              </w:rPr>
            </w:pPr>
            <w:r>
              <w:rPr>
                <w:rFonts w:hint="eastAsia" w:ascii="仿宋" w:hAnsi="仿宋" w:eastAsia="仿宋"/>
                <w:sz w:val="24"/>
              </w:rPr>
              <w:t>实质性响应程度差的得1分；</w:t>
            </w:r>
          </w:p>
          <w:p>
            <w:pPr>
              <w:widowControl/>
              <w:spacing w:line="276" w:lineRule="auto"/>
              <w:jc w:val="left"/>
              <w:rPr>
                <w:rFonts w:ascii="仿宋" w:hAnsi="仿宋" w:eastAsia="仿宋" w:cs="宋体"/>
                <w:kern w:val="0"/>
                <w:sz w:val="24"/>
              </w:rPr>
            </w:pPr>
            <w:r>
              <w:rPr>
                <w:rFonts w:hint="eastAsia" w:ascii="仿宋" w:hAnsi="仿宋" w:eastAsia="仿宋"/>
                <w:sz w:val="24"/>
              </w:rPr>
              <w:t>未提供的得0分。</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24"/>
              </w:rPr>
            </w:pPr>
            <w:r>
              <w:rPr>
                <w:rFonts w:hint="eastAsia" w:ascii="仿宋" w:hAnsi="仿宋" w:eastAsia="仿宋" w:cs="宋体"/>
                <w:kern w:val="0"/>
                <w:sz w:val="24"/>
              </w:rPr>
              <w:t>信息化工程成本控制方案</w:t>
            </w:r>
          </w:p>
        </w:tc>
        <w:tc>
          <w:tcPr>
            <w:tcW w:w="6408"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仿宋" w:hAnsi="仿宋" w:eastAsia="仿宋"/>
                <w:sz w:val="24"/>
              </w:rPr>
            </w:pPr>
            <w:r>
              <w:rPr>
                <w:rFonts w:hint="eastAsia" w:ascii="仿宋" w:hAnsi="仿宋" w:eastAsia="仿宋"/>
                <w:sz w:val="24"/>
              </w:rPr>
              <w:t>其中至少包括成本控制目标、成本控制风险分析、成本控制对策、成本控制主要措施等，实质性响应程度完全满足采购文件需要求的得5分；</w:t>
            </w:r>
          </w:p>
          <w:p>
            <w:pPr>
              <w:widowControl/>
              <w:spacing w:line="276" w:lineRule="auto"/>
              <w:jc w:val="left"/>
              <w:rPr>
                <w:rFonts w:ascii="仿宋" w:hAnsi="仿宋" w:eastAsia="仿宋"/>
                <w:sz w:val="24"/>
              </w:rPr>
            </w:pPr>
            <w:r>
              <w:rPr>
                <w:rFonts w:hint="eastAsia" w:ascii="仿宋" w:hAnsi="仿宋" w:eastAsia="仿宋"/>
                <w:sz w:val="24"/>
              </w:rPr>
              <w:t>实质性响应程度基本满足采购文件需要求的得3分；</w:t>
            </w:r>
          </w:p>
          <w:p>
            <w:pPr>
              <w:widowControl/>
              <w:spacing w:line="276" w:lineRule="auto"/>
              <w:jc w:val="left"/>
              <w:rPr>
                <w:rFonts w:ascii="仿宋" w:hAnsi="仿宋" w:eastAsia="仿宋"/>
                <w:sz w:val="24"/>
              </w:rPr>
            </w:pPr>
            <w:r>
              <w:rPr>
                <w:rFonts w:hint="eastAsia" w:ascii="仿宋" w:hAnsi="仿宋" w:eastAsia="仿宋"/>
                <w:sz w:val="24"/>
              </w:rPr>
              <w:t>实质性响应程度差的得1分；</w:t>
            </w:r>
          </w:p>
          <w:p>
            <w:pPr>
              <w:widowControl/>
              <w:spacing w:line="276" w:lineRule="auto"/>
              <w:jc w:val="left"/>
              <w:rPr>
                <w:rFonts w:ascii="仿宋" w:hAnsi="仿宋" w:eastAsia="仿宋" w:cs="宋体"/>
                <w:kern w:val="0"/>
                <w:sz w:val="24"/>
              </w:rPr>
            </w:pPr>
            <w:r>
              <w:rPr>
                <w:rFonts w:hint="eastAsia" w:ascii="仿宋" w:hAnsi="仿宋" w:eastAsia="仿宋"/>
                <w:sz w:val="24"/>
              </w:rPr>
              <w:t>未提供的得0分。</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24"/>
              </w:rPr>
            </w:pPr>
            <w:r>
              <w:rPr>
                <w:rFonts w:hint="eastAsia" w:ascii="仿宋" w:hAnsi="仿宋" w:eastAsia="仿宋" w:cs="宋体"/>
                <w:kern w:val="0"/>
                <w:sz w:val="24"/>
              </w:rPr>
              <w:t>信息化工程变更控制方案</w:t>
            </w:r>
          </w:p>
        </w:tc>
        <w:tc>
          <w:tcPr>
            <w:tcW w:w="6408"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仿宋" w:hAnsi="仿宋" w:eastAsia="仿宋"/>
                <w:sz w:val="24"/>
              </w:rPr>
            </w:pPr>
            <w:r>
              <w:rPr>
                <w:rFonts w:hint="eastAsia" w:ascii="仿宋" w:hAnsi="仿宋" w:eastAsia="仿宋"/>
                <w:sz w:val="24"/>
              </w:rPr>
              <w:t>其中至少包括变更控制系统构建、工期变更控制、成本变更控制等，实质性响应程度完全满足采购文件需要求的得4分；实质性响应程度基本满足采购文件需要求的得2分；</w:t>
            </w:r>
          </w:p>
          <w:p>
            <w:pPr>
              <w:widowControl/>
              <w:spacing w:line="276" w:lineRule="auto"/>
              <w:jc w:val="left"/>
              <w:rPr>
                <w:rFonts w:ascii="仿宋" w:hAnsi="仿宋" w:eastAsia="仿宋"/>
                <w:sz w:val="24"/>
              </w:rPr>
            </w:pPr>
            <w:r>
              <w:rPr>
                <w:rFonts w:hint="eastAsia" w:ascii="仿宋" w:hAnsi="仿宋" w:eastAsia="仿宋"/>
                <w:sz w:val="24"/>
              </w:rPr>
              <w:t>实质性响应程度差的得1分；</w:t>
            </w:r>
          </w:p>
          <w:p>
            <w:pPr>
              <w:widowControl/>
              <w:spacing w:line="276" w:lineRule="auto"/>
              <w:jc w:val="left"/>
              <w:rPr>
                <w:rFonts w:ascii="仿宋" w:hAnsi="仿宋" w:eastAsia="仿宋" w:cs="宋体"/>
                <w:kern w:val="0"/>
                <w:sz w:val="24"/>
              </w:rPr>
            </w:pPr>
            <w:r>
              <w:rPr>
                <w:rFonts w:hint="eastAsia" w:ascii="仿宋" w:hAnsi="仿宋" w:eastAsia="仿宋"/>
                <w:sz w:val="24"/>
              </w:rPr>
              <w:t>未提供的得0分。</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24"/>
              </w:rPr>
            </w:pPr>
            <w:r>
              <w:rPr>
                <w:rFonts w:hint="eastAsia" w:ascii="仿宋" w:hAnsi="仿宋" w:eastAsia="仿宋" w:cs="宋体"/>
                <w:kern w:val="0"/>
                <w:sz w:val="24"/>
              </w:rPr>
              <w:t>信息化工程合同管理、信息管理、工程文档管理方案</w:t>
            </w:r>
          </w:p>
        </w:tc>
        <w:tc>
          <w:tcPr>
            <w:tcW w:w="640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仿宋" w:hAnsi="仿宋" w:eastAsia="仿宋"/>
                <w:sz w:val="24"/>
              </w:rPr>
            </w:pPr>
            <w:r>
              <w:rPr>
                <w:rFonts w:hint="eastAsia" w:ascii="仿宋" w:hAnsi="仿宋" w:eastAsia="仿宋"/>
                <w:sz w:val="24"/>
              </w:rPr>
              <w:t>其中至少包括合同和信息管理、工程文档管理基本程序、合同和信息管理管理、工程文档管理措施、保密措施和方法等，实质性响应程度完全满足采购文件需要求的得4分；</w:t>
            </w:r>
          </w:p>
          <w:p>
            <w:pPr>
              <w:autoSpaceDE w:val="0"/>
              <w:autoSpaceDN w:val="0"/>
              <w:adjustRightInd w:val="0"/>
              <w:jc w:val="left"/>
              <w:rPr>
                <w:rFonts w:ascii="仿宋" w:hAnsi="仿宋" w:eastAsia="仿宋"/>
                <w:sz w:val="24"/>
              </w:rPr>
            </w:pPr>
            <w:r>
              <w:rPr>
                <w:rFonts w:hint="eastAsia" w:ascii="仿宋" w:hAnsi="仿宋" w:eastAsia="仿宋"/>
                <w:sz w:val="24"/>
              </w:rPr>
              <w:t>实质性响应程度基本满足采购文件需要求的得2分；</w:t>
            </w:r>
          </w:p>
          <w:p>
            <w:pPr>
              <w:autoSpaceDE w:val="0"/>
              <w:autoSpaceDN w:val="0"/>
              <w:adjustRightInd w:val="0"/>
              <w:jc w:val="left"/>
              <w:rPr>
                <w:rFonts w:ascii="仿宋" w:hAnsi="仿宋" w:eastAsia="仿宋" w:cs="宋体"/>
                <w:kern w:val="0"/>
                <w:sz w:val="24"/>
              </w:rPr>
            </w:pPr>
            <w:r>
              <w:rPr>
                <w:rFonts w:hint="eastAsia" w:ascii="仿宋" w:hAnsi="仿宋" w:eastAsia="仿宋"/>
                <w:sz w:val="24"/>
              </w:rPr>
              <w:t>实质性响应程度差的得1分；未提供的得0分。</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24"/>
              </w:rPr>
            </w:pPr>
            <w:r>
              <w:rPr>
                <w:rFonts w:hint="eastAsia" w:ascii="仿宋" w:hAnsi="仿宋" w:eastAsia="仿宋" w:cs="宋体"/>
                <w:kern w:val="0"/>
                <w:sz w:val="24"/>
              </w:rPr>
              <w:t>信息安全管理方案</w:t>
            </w:r>
          </w:p>
        </w:tc>
        <w:tc>
          <w:tcPr>
            <w:tcW w:w="640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仿宋" w:hAnsi="仿宋" w:eastAsia="仿宋"/>
                <w:sz w:val="24"/>
              </w:rPr>
            </w:pPr>
            <w:r>
              <w:rPr>
                <w:rFonts w:hint="eastAsia" w:ascii="仿宋" w:hAnsi="仿宋" w:eastAsia="仿宋"/>
                <w:sz w:val="24"/>
              </w:rPr>
              <w:t>其中至少包括信息安全原则和内容、安全体系构建、安全管理方法、安全管理措施、安全管理手段等，实质性响应程度完全满足采购文件需要求的得5分；</w:t>
            </w:r>
          </w:p>
          <w:p>
            <w:pPr>
              <w:autoSpaceDE w:val="0"/>
              <w:autoSpaceDN w:val="0"/>
              <w:adjustRightInd w:val="0"/>
              <w:jc w:val="left"/>
              <w:rPr>
                <w:rFonts w:ascii="仿宋" w:hAnsi="仿宋" w:eastAsia="仿宋"/>
                <w:sz w:val="24"/>
              </w:rPr>
            </w:pPr>
            <w:r>
              <w:rPr>
                <w:rFonts w:hint="eastAsia" w:ascii="仿宋" w:hAnsi="仿宋" w:eastAsia="仿宋"/>
                <w:sz w:val="24"/>
              </w:rPr>
              <w:t>实质性响应程度基本满足采购文件需要求的得3分；</w:t>
            </w:r>
          </w:p>
          <w:p>
            <w:pPr>
              <w:autoSpaceDE w:val="0"/>
              <w:autoSpaceDN w:val="0"/>
              <w:adjustRightInd w:val="0"/>
              <w:jc w:val="left"/>
              <w:rPr>
                <w:rFonts w:ascii="仿宋" w:hAnsi="仿宋" w:eastAsia="仿宋" w:cs="宋体"/>
                <w:kern w:val="0"/>
                <w:sz w:val="24"/>
              </w:rPr>
            </w:pPr>
            <w:r>
              <w:rPr>
                <w:rFonts w:hint="eastAsia" w:ascii="仿宋" w:hAnsi="仿宋" w:eastAsia="仿宋"/>
                <w:sz w:val="24"/>
              </w:rPr>
              <w:t>实质性响应程度差的得1分；未提供的得0分。</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24"/>
              </w:rPr>
            </w:pPr>
            <w:r>
              <w:rPr>
                <w:rFonts w:hint="eastAsia" w:ascii="仿宋" w:hAnsi="仿宋" w:eastAsia="仿宋" w:cs="宋体"/>
                <w:kern w:val="0"/>
                <w:sz w:val="24"/>
              </w:rPr>
              <w:t>项目组织沟通与协调方案</w:t>
            </w:r>
          </w:p>
        </w:tc>
        <w:tc>
          <w:tcPr>
            <w:tcW w:w="6408" w:type="dxa"/>
            <w:tcBorders>
              <w:top w:val="single" w:color="auto" w:sz="4" w:space="0"/>
              <w:left w:val="single" w:color="auto" w:sz="4" w:space="0"/>
              <w:bottom w:val="single" w:color="auto" w:sz="4" w:space="0"/>
              <w:right w:val="single" w:color="auto" w:sz="4" w:space="0"/>
            </w:tcBorders>
          </w:tcPr>
          <w:p>
            <w:pPr>
              <w:widowControl/>
              <w:spacing w:line="276" w:lineRule="auto"/>
              <w:jc w:val="left"/>
              <w:rPr>
                <w:rFonts w:ascii="仿宋" w:hAnsi="仿宋" w:eastAsia="仿宋"/>
                <w:sz w:val="24"/>
              </w:rPr>
            </w:pPr>
            <w:r>
              <w:rPr>
                <w:rFonts w:hint="eastAsia" w:ascii="仿宋" w:hAnsi="仿宋" w:eastAsia="仿宋"/>
                <w:sz w:val="24"/>
              </w:rPr>
              <w:t>其中至少包括组织协调目标、组织协调内容、沟通协调机制、组织协调主要措施等，实质性响应程度完全满足采购文件需要求的得4分；</w:t>
            </w:r>
          </w:p>
          <w:p>
            <w:pPr>
              <w:widowControl/>
              <w:spacing w:line="276" w:lineRule="auto"/>
              <w:jc w:val="left"/>
              <w:rPr>
                <w:rFonts w:ascii="仿宋" w:hAnsi="仿宋" w:eastAsia="仿宋"/>
                <w:sz w:val="24"/>
              </w:rPr>
            </w:pPr>
            <w:r>
              <w:rPr>
                <w:rFonts w:hint="eastAsia" w:ascii="仿宋" w:hAnsi="仿宋" w:eastAsia="仿宋"/>
                <w:sz w:val="24"/>
              </w:rPr>
              <w:t>实质性响应程度欠缺的得2分；</w:t>
            </w:r>
          </w:p>
          <w:p>
            <w:pPr>
              <w:widowControl/>
              <w:spacing w:line="276" w:lineRule="auto"/>
              <w:jc w:val="left"/>
              <w:rPr>
                <w:rFonts w:ascii="仿宋" w:hAnsi="仿宋" w:eastAsia="仿宋"/>
                <w:sz w:val="24"/>
              </w:rPr>
            </w:pPr>
            <w:r>
              <w:rPr>
                <w:rFonts w:hint="eastAsia" w:ascii="仿宋" w:hAnsi="仿宋" w:eastAsia="仿宋"/>
                <w:sz w:val="24"/>
              </w:rPr>
              <w:t>未提供的得0分。</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24"/>
              </w:rPr>
            </w:pPr>
            <w:r>
              <w:rPr>
                <w:rFonts w:hint="eastAsia" w:ascii="仿宋" w:hAnsi="仿宋" w:eastAsia="仿宋" w:cs="宋体"/>
                <w:kern w:val="0"/>
                <w:sz w:val="24"/>
              </w:rPr>
              <w:t>服务响应与承诺</w:t>
            </w:r>
          </w:p>
        </w:tc>
        <w:tc>
          <w:tcPr>
            <w:tcW w:w="640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仿宋" w:hAnsi="仿宋" w:eastAsia="仿宋"/>
                <w:sz w:val="24"/>
              </w:rPr>
            </w:pPr>
            <w:r>
              <w:rPr>
                <w:rFonts w:hint="eastAsia" w:ascii="仿宋" w:hAnsi="仿宋" w:eastAsia="仿宋"/>
                <w:sz w:val="24"/>
              </w:rPr>
              <w:t>方案全面、细致、可实施性强的得4分；</w:t>
            </w:r>
          </w:p>
          <w:p>
            <w:pPr>
              <w:autoSpaceDE w:val="0"/>
              <w:autoSpaceDN w:val="0"/>
              <w:adjustRightInd w:val="0"/>
              <w:jc w:val="left"/>
              <w:rPr>
                <w:rFonts w:ascii="仿宋" w:hAnsi="仿宋" w:eastAsia="仿宋"/>
                <w:sz w:val="24"/>
              </w:rPr>
            </w:pPr>
            <w:r>
              <w:rPr>
                <w:rFonts w:hint="eastAsia" w:ascii="仿宋" w:hAnsi="仿宋" w:eastAsia="仿宋"/>
                <w:sz w:val="24"/>
              </w:rPr>
              <w:t>方案较全面、可实施性有欠缺得2分；</w:t>
            </w:r>
          </w:p>
          <w:p>
            <w:pPr>
              <w:autoSpaceDE w:val="0"/>
              <w:autoSpaceDN w:val="0"/>
              <w:adjustRightInd w:val="0"/>
              <w:jc w:val="left"/>
              <w:rPr>
                <w:rFonts w:ascii="仿宋" w:hAnsi="仿宋" w:eastAsia="仿宋"/>
                <w:sz w:val="24"/>
              </w:rPr>
            </w:pPr>
            <w:r>
              <w:rPr>
                <w:rFonts w:hint="eastAsia" w:ascii="仿宋" w:hAnsi="仿宋" w:eastAsia="仿宋"/>
                <w:sz w:val="24"/>
              </w:rPr>
              <w:t>方案简略或可实施性较差得1分；</w:t>
            </w:r>
          </w:p>
          <w:p>
            <w:pPr>
              <w:autoSpaceDE w:val="0"/>
              <w:autoSpaceDN w:val="0"/>
              <w:adjustRightInd w:val="0"/>
              <w:jc w:val="left"/>
              <w:rPr>
                <w:rFonts w:ascii="仿宋" w:hAnsi="仿宋" w:eastAsia="仿宋"/>
                <w:sz w:val="24"/>
              </w:rPr>
            </w:pPr>
            <w:r>
              <w:rPr>
                <w:rFonts w:hint="eastAsia" w:ascii="仿宋" w:hAnsi="仿宋" w:eastAsia="仿宋"/>
                <w:sz w:val="24"/>
              </w:rPr>
              <w:t xml:space="preserve">未提供的的0分。 </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宋体"/>
                <w:kern w:val="0"/>
                <w:sz w:val="24"/>
              </w:rPr>
            </w:pPr>
            <w:r>
              <w:rPr>
                <w:rFonts w:hint="eastAsia" w:ascii="仿宋" w:hAnsi="仿宋" w:eastAsia="仿宋" w:cs="宋体"/>
                <w:kern w:val="0"/>
                <w:sz w:val="24"/>
              </w:rPr>
              <w:t>监理机构评价</w:t>
            </w:r>
          </w:p>
          <w:p>
            <w:pPr>
              <w:adjustRightInd w:val="0"/>
              <w:snapToGrid w:val="0"/>
              <w:rPr>
                <w:rFonts w:ascii="仿宋" w:hAnsi="仿宋" w:eastAsia="仿宋" w:cs="宋体"/>
                <w:kern w:val="0"/>
                <w:sz w:val="24"/>
              </w:rPr>
            </w:pPr>
            <w:r>
              <w:rPr>
                <w:rFonts w:hint="eastAsia" w:ascii="仿宋" w:hAnsi="仿宋" w:eastAsia="仿宋" w:cs="宋体"/>
                <w:kern w:val="0"/>
                <w:sz w:val="24"/>
              </w:rPr>
              <w:t>(20分)</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宋体"/>
                <w:kern w:val="0"/>
                <w:sz w:val="24"/>
              </w:rPr>
            </w:pPr>
            <w:r>
              <w:rPr>
                <w:rFonts w:hint="eastAsia" w:ascii="仿宋" w:hAnsi="仿宋" w:eastAsia="仿宋" w:cs="宋体"/>
                <w:kern w:val="0"/>
                <w:sz w:val="24"/>
              </w:rPr>
              <w:t>总监理工程师实力</w:t>
            </w:r>
          </w:p>
        </w:tc>
        <w:tc>
          <w:tcPr>
            <w:tcW w:w="640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仿宋" w:hAnsi="仿宋" w:eastAsia="仿宋" w:cs="宋体"/>
                <w:b/>
                <w:bCs/>
                <w:kern w:val="0"/>
                <w:sz w:val="24"/>
              </w:rPr>
            </w:pPr>
            <w:r>
              <w:rPr>
                <w:rFonts w:hint="eastAsia" w:ascii="仿宋" w:hAnsi="仿宋" w:eastAsia="仿宋" w:cs="宋体"/>
                <w:kern w:val="0"/>
                <w:sz w:val="24"/>
              </w:rPr>
              <w:t>项目总监理工程师应具有信息系统监理师（中级）证书，</w:t>
            </w:r>
            <w:r>
              <w:rPr>
                <w:rFonts w:hint="eastAsia" w:ascii="仿宋" w:hAnsi="仿宋" w:eastAsia="仿宋" w:cs="宋体"/>
                <w:b/>
                <w:bCs/>
                <w:kern w:val="0"/>
                <w:sz w:val="24"/>
              </w:rPr>
              <w:t>否则此项整体不得分。</w:t>
            </w:r>
          </w:p>
          <w:p>
            <w:pPr>
              <w:autoSpaceDE w:val="0"/>
              <w:autoSpaceDN w:val="0"/>
              <w:adjustRightInd w:val="0"/>
              <w:jc w:val="left"/>
              <w:rPr>
                <w:rFonts w:ascii="仿宋" w:hAnsi="仿宋" w:eastAsia="仿宋" w:cs="宋体"/>
                <w:kern w:val="0"/>
                <w:sz w:val="24"/>
              </w:rPr>
            </w:pPr>
            <w:r>
              <w:rPr>
                <w:rFonts w:hint="eastAsia" w:ascii="仿宋" w:hAnsi="仿宋" w:eastAsia="仿宋" w:cs="宋体"/>
                <w:kern w:val="0"/>
                <w:sz w:val="24"/>
              </w:rPr>
              <w:t>供应商拟派本项目总监理工程师另具有：</w:t>
            </w:r>
          </w:p>
          <w:p>
            <w:pPr>
              <w:autoSpaceDE w:val="0"/>
              <w:autoSpaceDN w:val="0"/>
              <w:adjustRightInd w:val="0"/>
              <w:jc w:val="left"/>
              <w:rPr>
                <w:rFonts w:ascii="仿宋" w:hAnsi="仿宋" w:eastAsia="仿宋" w:cs="宋体"/>
                <w:kern w:val="0"/>
                <w:sz w:val="24"/>
              </w:rPr>
            </w:pPr>
            <w:r>
              <w:rPr>
                <w:rFonts w:hint="eastAsia" w:ascii="仿宋" w:hAnsi="仿宋" w:eastAsia="仿宋" w:cs="宋体"/>
                <w:kern w:val="0"/>
                <w:sz w:val="24"/>
              </w:rPr>
              <w:t>（1）咨询工程师（投资）证书；</w:t>
            </w:r>
          </w:p>
          <w:p>
            <w:pPr>
              <w:autoSpaceDE w:val="0"/>
              <w:autoSpaceDN w:val="0"/>
              <w:adjustRightInd w:val="0"/>
              <w:jc w:val="left"/>
              <w:rPr>
                <w:rFonts w:ascii="仿宋" w:hAnsi="仿宋" w:eastAsia="仿宋" w:cs="宋体"/>
                <w:kern w:val="0"/>
                <w:sz w:val="24"/>
              </w:rPr>
            </w:pPr>
            <w:r>
              <w:rPr>
                <w:rFonts w:hint="eastAsia" w:ascii="仿宋" w:hAnsi="仿宋" w:eastAsia="仿宋" w:cs="宋体"/>
                <w:kern w:val="0"/>
                <w:sz w:val="24"/>
              </w:rPr>
              <w:t>（2）信息系统项目管理师（高级）证书；</w:t>
            </w:r>
          </w:p>
          <w:p>
            <w:pPr>
              <w:autoSpaceDE w:val="0"/>
              <w:autoSpaceDN w:val="0"/>
              <w:adjustRightInd w:val="0"/>
              <w:jc w:val="left"/>
              <w:rPr>
                <w:rFonts w:ascii="仿宋" w:hAnsi="仿宋" w:eastAsia="仿宋" w:cs="宋体"/>
                <w:kern w:val="0"/>
                <w:sz w:val="24"/>
              </w:rPr>
            </w:pPr>
            <w:r>
              <w:rPr>
                <w:rFonts w:hint="eastAsia" w:ascii="仿宋" w:hAnsi="仿宋" w:eastAsia="仿宋" w:cs="宋体"/>
                <w:kern w:val="0"/>
                <w:sz w:val="24"/>
              </w:rPr>
              <w:t>（3）高级职称证书；</w:t>
            </w:r>
          </w:p>
          <w:p>
            <w:pPr>
              <w:autoSpaceDE w:val="0"/>
              <w:autoSpaceDN w:val="0"/>
              <w:adjustRightInd w:val="0"/>
              <w:jc w:val="left"/>
              <w:rPr>
                <w:rFonts w:ascii="仿宋" w:hAnsi="仿宋" w:eastAsia="仿宋" w:cs="宋体"/>
                <w:kern w:val="0"/>
                <w:sz w:val="24"/>
              </w:rPr>
            </w:pPr>
            <w:r>
              <w:rPr>
                <w:rFonts w:hint="eastAsia" w:ascii="仿宋" w:hAnsi="仿宋" w:eastAsia="仿宋" w:cs="宋体"/>
                <w:kern w:val="0"/>
                <w:sz w:val="24"/>
              </w:rPr>
              <w:t>每提供一项得2分,最多得6分。</w:t>
            </w:r>
          </w:p>
          <w:p>
            <w:pPr>
              <w:autoSpaceDE w:val="0"/>
              <w:autoSpaceDN w:val="0"/>
              <w:adjustRightInd w:val="0"/>
              <w:jc w:val="left"/>
              <w:rPr>
                <w:rFonts w:ascii="仿宋" w:hAnsi="仿宋" w:eastAsia="仿宋" w:cs="宋体"/>
                <w:kern w:val="0"/>
                <w:sz w:val="24"/>
              </w:rPr>
            </w:pPr>
            <w:r>
              <w:rPr>
                <w:rFonts w:hint="eastAsia" w:ascii="仿宋" w:hAnsi="仿宋" w:eastAsia="仿宋" w:cs="宋体"/>
                <w:kern w:val="0"/>
                <w:sz w:val="24"/>
              </w:rPr>
              <w:t>担任过类似信息化项目（非医院）总监理工程师的，提供合同或用户评价复印件（需体现总监理工程师姓名），每提供一项得2分，最多得2分。</w:t>
            </w:r>
          </w:p>
          <w:p>
            <w:pPr>
              <w:autoSpaceDE w:val="0"/>
              <w:autoSpaceDN w:val="0"/>
              <w:adjustRightInd w:val="0"/>
              <w:jc w:val="left"/>
              <w:rPr>
                <w:rFonts w:ascii="仿宋" w:hAnsi="仿宋" w:eastAsia="仿宋" w:cs="宋体"/>
                <w:kern w:val="0"/>
                <w:sz w:val="24"/>
              </w:rPr>
            </w:pPr>
            <w:r>
              <w:rPr>
                <w:rFonts w:hint="eastAsia" w:ascii="仿宋" w:hAnsi="仿宋" w:eastAsia="仿宋" w:cs="宋体"/>
                <w:kern w:val="0"/>
                <w:sz w:val="24"/>
              </w:rPr>
              <w:t>担任过类似医院信息化项目总监理工程师的，提供合同或用户评价复印件（需体现总监理工程师姓名），每提供一项2分，最多得2分。</w:t>
            </w:r>
          </w:p>
          <w:p>
            <w:pPr>
              <w:autoSpaceDE w:val="0"/>
              <w:autoSpaceDN w:val="0"/>
              <w:adjustRightInd w:val="0"/>
              <w:jc w:val="left"/>
              <w:rPr>
                <w:rFonts w:ascii="仿宋" w:hAnsi="仿宋" w:eastAsia="仿宋" w:cs="宋体"/>
                <w:kern w:val="0"/>
                <w:sz w:val="24"/>
              </w:rPr>
            </w:pPr>
            <w:r>
              <w:rPr>
                <w:rFonts w:hint="eastAsia" w:ascii="仿宋" w:hAnsi="仿宋" w:eastAsia="仿宋" w:cs="宋体"/>
                <w:kern w:val="0"/>
                <w:sz w:val="24"/>
              </w:rPr>
              <w:t>注：提供总监理工程师缴纳社保证明文件，</w:t>
            </w:r>
            <w:r>
              <w:rPr>
                <w:rFonts w:hint="eastAsia" w:ascii="仿宋" w:hAnsi="仿宋" w:eastAsia="仿宋" w:cs="宋体"/>
                <w:b/>
                <w:bCs/>
                <w:kern w:val="0"/>
                <w:sz w:val="24"/>
              </w:rPr>
              <w:t>否则该项不得分</w:t>
            </w:r>
            <w:r>
              <w:rPr>
                <w:rFonts w:hint="eastAsia" w:ascii="仿宋" w:hAnsi="仿宋" w:eastAsia="仿宋" w:cs="宋体"/>
                <w:kern w:val="0"/>
                <w:sz w:val="24"/>
              </w:rPr>
              <w:t>，依法免缴的除外。</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仿宋" w:hAnsi="仿宋" w:eastAsia="仿宋" w:cs="宋体"/>
                <w:kern w:val="0"/>
                <w:sz w:val="24"/>
              </w:rPr>
            </w:pPr>
            <w:r>
              <w:rPr>
                <w:rFonts w:hint="eastAsia" w:ascii="仿宋" w:hAnsi="仿宋" w:eastAsia="仿宋" w:cs="宋体"/>
                <w:kern w:val="0"/>
                <w:sz w:val="24"/>
              </w:rPr>
              <w:t>监理团队人员</w:t>
            </w:r>
          </w:p>
        </w:tc>
        <w:tc>
          <w:tcPr>
            <w:tcW w:w="64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仿宋" w:hAnsi="仿宋" w:eastAsia="仿宋" w:cs="宋体"/>
                <w:b/>
                <w:bCs/>
                <w:kern w:val="0"/>
                <w:sz w:val="24"/>
              </w:rPr>
            </w:pPr>
            <w:r>
              <w:rPr>
                <w:rFonts w:hint="eastAsia" w:ascii="仿宋" w:hAnsi="仿宋" w:eastAsia="仿宋" w:cs="宋体"/>
                <w:kern w:val="0"/>
                <w:sz w:val="24"/>
              </w:rPr>
              <w:t>项目团队人员全部具有信息系统监理师（中级）证书，</w:t>
            </w:r>
            <w:r>
              <w:rPr>
                <w:rFonts w:hint="eastAsia" w:ascii="仿宋" w:hAnsi="仿宋" w:eastAsia="仿宋" w:cs="宋体"/>
                <w:b/>
                <w:bCs/>
                <w:kern w:val="0"/>
                <w:sz w:val="24"/>
              </w:rPr>
              <w:t>否则此项整体不得分。</w:t>
            </w:r>
          </w:p>
          <w:p>
            <w:pPr>
              <w:autoSpaceDE w:val="0"/>
              <w:autoSpaceDN w:val="0"/>
              <w:adjustRightInd w:val="0"/>
              <w:jc w:val="left"/>
              <w:rPr>
                <w:rFonts w:ascii="仿宋" w:hAnsi="仿宋" w:eastAsia="仿宋" w:cs="宋体"/>
                <w:kern w:val="0"/>
                <w:sz w:val="24"/>
              </w:rPr>
            </w:pPr>
            <w:r>
              <w:rPr>
                <w:rFonts w:hint="eastAsia" w:ascii="仿宋" w:hAnsi="仿宋" w:eastAsia="仿宋" w:cs="宋体"/>
                <w:kern w:val="0"/>
                <w:sz w:val="24"/>
              </w:rPr>
              <w:t>监理团队成员（除总监理工程师以外）具有：</w:t>
            </w:r>
          </w:p>
          <w:p>
            <w:pPr>
              <w:autoSpaceDE w:val="0"/>
              <w:autoSpaceDN w:val="0"/>
              <w:adjustRightInd w:val="0"/>
              <w:jc w:val="left"/>
              <w:rPr>
                <w:rFonts w:ascii="仿宋" w:hAnsi="仿宋" w:eastAsia="仿宋" w:cs="宋体"/>
                <w:kern w:val="0"/>
                <w:sz w:val="24"/>
              </w:rPr>
            </w:pPr>
            <w:r>
              <w:rPr>
                <w:rFonts w:hint="eastAsia" w:ascii="仿宋" w:hAnsi="仿宋" w:eastAsia="仿宋" w:cs="宋体"/>
                <w:kern w:val="0"/>
                <w:sz w:val="24"/>
              </w:rPr>
              <w:t>计算机技术与软件专业技术资格（水平）考试中级及以上资格证书，团队每有一个种类的上述资格证书加2分，最多得10分。</w:t>
            </w:r>
          </w:p>
          <w:p>
            <w:pPr>
              <w:autoSpaceDE w:val="0"/>
              <w:autoSpaceDN w:val="0"/>
              <w:adjustRightInd w:val="0"/>
              <w:jc w:val="left"/>
              <w:rPr>
                <w:rFonts w:ascii="仿宋" w:hAnsi="仿宋" w:eastAsia="仿宋" w:cs="宋体"/>
                <w:kern w:val="0"/>
                <w:sz w:val="24"/>
              </w:rPr>
            </w:pPr>
            <w:r>
              <w:rPr>
                <w:rFonts w:hint="eastAsia" w:ascii="仿宋" w:hAnsi="仿宋" w:eastAsia="仿宋" w:cs="宋体"/>
                <w:kern w:val="0"/>
                <w:sz w:val="24"/>
              </w:rPr>
              <w:t>注：提供缴纳社保证明文件，</w:t>
            </w:r>
            <w:r>
              <w:rPr>
                <w:rFonts w:hint="eastAsia" w:ascii="仿宋" w:hAnsi="仿宋" w:eastAsia="仿宋" w:cs="宋体"/>
                <w:b/>
                <w:bCs/>
                <w:kern w:val="0"/>
                <w:sz w:val="24"/>
              </w:rPr>
              <w:t>同一人员多种证书按一个资格证书计算</w:t>
            </w:r>
            <w:r>
              <w:rPr>
                <w:rFonts w:hint="eastAsia" w:ascii="仿宋" w:hAnsi="仿宋" w:eastAsia="仿宋" w:cs="宋体"/>
                <w:kern w:val="0"/>
                <w:sz w:val="24"/>
              </w:rPr>
              <w:t>。</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kern w:val="0"/>
                <w:sz w:val="24"/>
              </w:rPr>
            </w:pPr>
            <w:r>
              <w:rPr>
                <w:rFonts w:hint="eastAsia" w:ascii="仿宋" w:hAnsi="仿宋" w:eastAsia="仿宋" w:cs="宋体"/>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宋体"/>
                <w:kern w:val="0"/>
                <w:sz w:val="24"/>
              </w:rPr>
            </w:pPr>
            <w:r>
              <w:rPr>
                <w:rFonts w:hint="eastAsia" w:ascii="仿宋" w:hAnsi="仿宋" w:eastAsia="仿宋" w:cs="宋体"/>
                <w:kern w:val="0"/>
                <w:sz w:val="24"/>
              </w:rPr>
              <w:t>合计</w:t>
            </w:r>
          </w:p>
        </w:tc>
        <w:tc>
          <w:tcPr>
            <w:tcW w:w="7542"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s="宋体"/>
                <w:kern w:val="0"/>
                <w:sz w:val="24"/>
              </w:rPr>
            </w:pP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宋体"/>
                <w:kern w:val="0"/>
                <w:sz w:val="24"/>
              </w:rPr>
            </w:pPr>
            <w:r>
              <w:rPr>
                <w:rFonts w:hint="eastAsia" w:ascii="仿宋" w:hAnsi="仿宋" w:eastAsia="仿宋" w:cs="宋体"/>
                <w:kern w:val="0"/>
                <w:sz w:val="24"/>
              </w:rPr>
              <w:t>100</w:t>
            </w:r>
          </w:p>
        </w:tc>
      </w:tr>
    </w:tbl>
    <w:p>
      <w:pPr>
        <w:widowControl/>
        <w:spacing w:line="288" w:lineRule="auto"/>
        <w:jc w:val="left"/>
        <w:rPr>
          <w:rFonts w:ascii="宋体" w:hAnsi="宋体"/>
          <w:szCs w:val="21"/>
        </w:rPr>
      </w:pPr>
    </w:p>
    <w:p>
      <w:pPr>
        <w:widowControl/>
        <w:spacing w:line="288" w:lineRule="auto"/>
        <w:jc w:val="left"/>
        <w:rPr>
          <w:rFonts w:ascii="宋体" w:hAnsi="宋体"/>
          <w:szCs w:val="21"/>
        </w:rPr>
      </w:pPr>
    </w:p>
    <w:p>
      <w:pPr>
        <w:widowControl/>
        <w:spacing w:line="288" w:lineRule="auto"/>
        <w:jc w:val="left"/>
        <w:rPr>
          <w:rFonts w:ascii="宋体" w:hAnsi="宋体"/>
          <w:szCs w:val="21"/>
        </w:rPr>
      </w:pPr>
    </w:p>
    <w:p>
      <w:pPr>
        <w:widowControl/>
        <w:spacing w:line="288" w:lineRule="auto"/>
        <w:jc w:val="left"/>
        <w:rPr>
          <w:rFonts w:ascii="宋体" w:hAnsi="宋体"/>
          <w:szCs w:val="21"/>
        </w:rPr>
      </w:pPr>
    </w:p>
    <w:p>
      <w:pPr>
        <w:widowControl/>
        <w:spacing w:line="288" w:lineRule="auto"/>
        <w:jc w:val="left"/>
        <w:rPr>
          <w:rFonts w:ascii="宋体" w:hAnsi="宋体"/>
          <w:szCs w:val="21"/>
        </w:rPr>
      </w:pPr>
    </w:p>
    <w:p>
      <w:pPr>
        <w:widowControl/>
        <w:spacing w:line="288" w:lineRule="auto"/>
        <w:jc w:val="left"/>
        <w:rPr>
          <w:rFonts w:ascii="宋体" w:hAnsi="宋体"/>
          <w:szCs w:val="21"/>
        </w:rPr>
      </w:pPr>
    </w:p>
    <w:p>
      <w:pPr>
        <w:widowControl/>
        <w:spacing w:line="288" w:lineRule="auto"/>
        <w:jc w:val="left"/>
        <w:rPr>
          <w:rFonts w:ascii="宋体" w:hAnsi="宋体"/>
          <w:szCs w:val="21"/>
        </w:rPr>
      </w:pPr>
      <w:r>
        <w:rPr>
          <w:rFonts w:hint="eastAsia" w:ascii="宋体" w:hAnsi="宋体"/>
          <w:szCs w:val="21"/>
        </w:rPr>
        <w:t>六、合同及廉洁模板</w:t>
      </w:r>
    </w:p>
    <w:p>
      <w:pPr>
        <w:spacing w:line="60" w:lineRule="atLeast"/>
        <w:jc w:val="center"/>
        <w:rPr>
          <w:b/>
          <w:sz w:val="44"/>
          <w:szCs w:val="44"/>
        </w:rPr>
      </w:pPr>
      <w:r>
        <w:rPr>
          <w:rFonts w:hint="eastAsia"/>
          <w:b/>
          <w:sz w:val="44"/>
          <w:szCs w:val="44"/>
        </w:rPr>
        <w:t>北京大学人民医院医疗设备采购合同</w:t>
      </w:r>
    </w:p>
    <w:p>
      <w:pPr>
        <w:spacing w:line="180" w:lineRule="atLeast"/>
        <w:rPr>
          <w:sz w:val="24"/>
        </w:rPr>
      </w:pPr>
      <w:r>
        <w:rPr>
          <w:sz w:val="24"/>
        </w:rPr>
        <w:t>合同编号：</w:t>
      </w:r>
      <w:r>
        <w:rPr>
          <w:rFonts w:hint="eastAsia"/>
          <w:sz w:val="24"/>
        </w:rPr>
        <w:t xml:space="preserve">                                 甲方：北京大学人民医院</w:t>
      </w:r>
    </w:p>
    <w:p>
      <w:pPr>
        <w:spacing w:line="180" w:lineRule="atLeast"/>
      </w:pPr>
      <w:r>
        <w:rPr>
          <w:rFonts w:hint="eastAsia"/>
          <w:sz w:val="24"/>
        </w:rPr>
        <w:t>签约时间</w:t>
      </w:r>
      <w:r>
        <w:rPr>
          <w:sz w:val="24"/>
        </w:rPr>
        <w:t>：</w:t>
      </w:r>
      <w:r>
        <w:rPr>
          <w:rFonts w:hint="eastAsia"/>
          <w:sz w:val="24"/>
        </w:rPr>
        <w:t xml:space="preserve">                                 乙方：                  </w:t>
      </w:r>
      <w:r>
        <w:rPr>
          <w:rFonts w:hint="eastAsia"/>
        </w:rPr>
        <w:t xml:space="preserve"> </w:t>
      </w:r>
    </w:p>
    <w:p>
      <w:pPr>
        <w:ind w:right="-109" w:rightChars="-52"/>
        <w:rPr>
          <w:rFonts w:ascii="宋体" w:hAnsi="宋体"/>
          <w:b/>
          <w:szCs w:val="21"/>
        </w:rPr>
      </w:pPr>
      <w:r>
        <w:rPr>
          <w:rFonts w:hint="eastAsia" w:ascii="宋体" w:hAnsi="宋体"/>
          <w:b/>
          <w:szCs w:val="21"/>
        </w:rPr>
        <w:t>第一条：产品明细。</w:t>
      </w:r>
      <w:r>
        <w:rPr>
          <w:rFonts w:hint="eastAsia" w:ascii="宋体" w:hAnsi="宋体"/>
          <w:szCs w:val="21"/>
        </w:rPr>
        <w:t>(医疗器械的产品名称、型号、生产国应与注册证中注册名相同；属于法定商检的需进行商检。)</w:t>
      </w:r>
    </w:p>
    <w:tbl>
      <w:tblPr>
        <w:tblStyle w:val="10"/>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720"/>
        <w:gridCol w:w="900"/>
        <w:gridCol w:w="2124"/>
        <w:gridCol w:w="1476"/>
        <w:gridCol w:w="720"/>
        <w:gridCol w:w="1090"/>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80" w:type="dxa"/>
            <w:tcBorders>
              <w:bottom w:val="single" w:color="auto" w:sz="4" w:space="0"/>
            </w:tcBorders>
            <w:vAlign w:val="center"/>
          </w:tcPr>
          <w:p>
            <w:pPr>
              <w:tabs>
                <w:tab w:val="left" w:pos="0"/>
                <w:tab w:val="left" w:pos="540"/>
              </w:tabs>
              <w:snapToGrid w:val="0"/>
              <w:jc w:val="center"/>
              <w:rPr>
                <w:rFonts w:ascii="宋体" w:hAnsi="宋体"/>
                <w:szCs w:val="21"/>
              </w:rPr>
            </w:pPr>
            <w:r>
              <w:rPr>
                <w:rFonts w:hint="eastAsia" w:ascii="宋体" w:hAnsi="宋体"/>
                <w:szCs w:val="21"/>
              </w:rPr>
              <w:t>产品名称</w:t>
            </w:r>
          </w:p>
        </w:tc>
        <w:tc>
          <w:tcPr>
            <w:tcW w:w="720" w:type="dxa"/>
            <w:tcBorders>
              <w:bottom w:val="single" w:color="auto" w:sz="4" w:space="0"/>
            </w:tcBorders>
            <w:vAlign w:val="center"/>
          </w:tcPr>
          <w:p>
            <w:pPr>
              <w:tabs>
                <w:tab w:val="left" w:pos="0"/>
                <w:tab w:val="left" w:pos="540"/>
              </w:tabs>
              <w:snapToGrid w:val="0"/>
              <w:jc w:val="center"/>
              <w:rPr>
                <w:rFonts w:ascii="宋体" w:hAnsi="宋体"/>
                <w:szCs w:val="21"/>
              </w:rPr>
            </w:pPr>
            <w:r>
              <w:rPr>
                <w:rFonts w:hint="eastAsia" w:ascii="宋体" w:hAnsi="宋体"/>
                <w:szCs w:val="21"/>
              </w:rPr>
              <w:t>规格型号</w:t>
            </w:r>
          </w:p>
        </w:tc>
        <w:tc>
          <w:tcPr>
            <w:tcW w:w="900" w:type="dxa"/>
            <w:tcBorders>
              <w:bottom w:val="single" w:color="auto" w:sz="4" w:space="0"/>
            </w:tcBorders>
            <w:vAlign w:val="center"/>
          </w:tcPr>
          <w:p>
            <w:pPr>
              <w:tabs>
                <w:tab w:val="left" w:pos="0"/>
                <w:tab w:val="left" w:pos="540"/>
              </w:tabs>
              <w:snapToGrid w:val="0"/>
              <w:jc w:val="center"/>
              <w:rPr>
                <w:rFonts w:ascii="宋体" w:hAnsi="宋体"/>
                <w:szCs w:val="21"/>
              </w:rPr>
            </w:pPr>
            <w:r>
              <w:rPr>
                <w:rFonts w:hint="eastAsia" w:ascii="宋体" w:hAnsi="宋体"/>
                <w:szCs w:val="21"/>
              </w:rPr>
              <w:t>生产国</w:t>
            </w:r>
          </w:p>
        </w:tc>
        <w:tc>
          <w:tcPr>
            <w:tcW w:w="2124" w:type="dxa"/>
            <w:tcBorders>
              <w:bottom w:val="single" w:color="auto" w:sz="4" w:space="0"/>
            </w:tcBorders>
            <w:vAlign w:val="center"/>
          </w:tcPr>
          <w:p>
            <w:pPr>
              <w:tabs>
                <w:tab w:val="left" w:pos="0"/>
                <w:tab w:val="left" w:pos="540"/>
              </w:tabs>
              <w:snapToGrid w:val="0"/>
              <w:jc w:val="center"/>
              <w:rPr>
                <w:rFonts w:ascii="宋体" w:hAnsi="宋体"/>
                <w:szCs w:val="21"/>
              </w:rPr>
            </w:pPr>
            <w:r>
              <w:rPr>
                <w:rFonts w:hint="eastAsia" w:ascii="宋体" w:hAnsi="宋体"/>
                <w:szCs w:val="21"/>
              </w:rPr>
              <w:t>生产厂商</w:t>
            </w:r>
          </w:p>
        </w:tc>
        <w:tc>
          <w:tcPr>
            <w:tcW w:w="1476" w:type="dxa"/>
            <w:tcBorders>
              <w:bottom w:val="single" w:color="auto" w:sz="4" w:space="0"/>
            </w:tcBorders>
            <w:vAlign w:val="center"/>
          </w:tcPr>
          <w:p>
            <w:pPr>
              <w:tabs>
                <w:tab w:val="left" w:pos="0"/>
                <w:tab w:val="left" w:pos="540"/>
              </w:tabs>
              <w:snapToGrid w:val="0"/>
              <w:jc w:val="center"/>
              <w:rPr>
                <w:rFonts w:ascii="宋体" w:hAnsi="宋体"/>
                <w:szCs w:val="21"/>
              </w:rPr>
            </w:pPr>
            <w:r>
              <w:rPr>
                <w:rFonts w:hint="eastAsia" w:ascii="宋体" w:hAnsi="宋体"/>
                <w:szCs w:val="21"/>
              </w:rPr>
              <w:t>供应商</w:t>
            </w:r>
          </w:p>
        </w:tc>
        <w:tc>
          <w:tcPr>
            <w:tcW w:w="720" w:type="dxa"/>
            <w:tcBorders>
              <w:bottom w:val="single" w:color="auto" w:sz="4" w:space="0"/>
            </w:tcBorders>
            <w:vAlign w:val="center"/>
          </w:tcPr>
          <w:p>
            <w:pPr>
              <w:tabs>
                <w:tab w:val="left" w:pos="0"/>
                <w:tab w:val="left" w:pos="540"/>
              </w:tabs>
              <w:snapToGrid w:val="0"/>
              <w:jc w:val="center"/>
              <w:rPr>
                <w:rFonts w:ascii="宋体" w:hAnsi="宋体"/>
                <w:szCs w:val="21"/>
              </w:rPr>
            </w:pPr>
            <w:r>
              <w:rPr>
                <w:rFonts w:hint="eastAsia" w:ascii="宋体" w:hAnsi="宋体"/>
                <w:szCs w:val="21"/>
              </w:rPr>
              <w:t>数量</w:t>
            </w:r>
          </w:p>
        </w:tc>
        <w:tc>
          <w:tcPr>
            <w:tcW w:w="1090" w:type="dxa"/>
            <w:tcBorders>
              <w:bottom w:val="single" w:color="auto" w:sz="4" w:space="0"/>
            </w:tcBorders>
            <w:vAlign w:val="center"/>
          </w:tcPr>
          <w:p>
            <w:pPr>
              <w:tabs>
                <w:tab w:val="left" w:pos="0"/>
                <w:tab w:val="left" w:pos="540"/>
              </w:tabs>
              <w:snapToGrid w:val="0"/>
              <w:jc w:val="center"/>
              <w:rPr>
                <w:rFonts w:ascii="宋体" w:hAnsi="宋体"/>
                <w:szCs w:val="21"/>
              </w:rPr>
            </w:pPr>
            <w:r>
              <w:rPr>
                <w:rFonts w:hint="eastAsia" w:ascii="宋体" w:hAnsi="宋体"/>
                <w:szCs w:val="21"/>
              </w:rPr>
              <w:t>单价（元）</w:t>
            </w:r>
          </w:p>
        </w:tc>
        <w:tc>
          <w:tcPr>
            <w:tcW w:w="1250" w:type="dxa"/>
            <w:tcBorders>
              <w:bottom w:val="single" w:color="auto" w:sz="4" w:space="0"/>
            </w:tcBorders>
            <w:vAlign w:val="center"/>
          </w:tcPr>
          <w:p>
            <w:pPr>
              <w:tabs>
                <w:tab w:val="left" w:pos="0"/>
                <w:tab w:val="left" w:pos="540"/>
              </w:tabs>
              <w:snapToGrid w:val="0"/>
              <w:jc w:val="center"/>
              <w:rPr>
                <w:rFonts w:ascii="宋体" w:hAnsi="宋体"/>
                <w:szCs w:val="21"/>
              </w:rPr>
            </w:pPr>
            <w:r>
              <w:rPr>
                <w:rFonts w:hint="eastAsia" w:ascii="宋体" w:hAnsi="宋体"/>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080" w:type="dxa"/>
            <w:tcBorders>
              <w:bottom w:val="dotted" w:color="auto" w:sz="4" w:space="0"/>
              <w:right w:val="single" w:color="auto" w:sz="4" w:space="0"/>
            </w:tcBorders>
            <w:shd w:val="clear" w:color="auto" w:fill="auto"/>
          </w:tcPr>
          <w:p>
            <w:pPr>
              <w:snapToGrid w:val="0"/>
              <w:rPr>
                <w:rFonts w:ascii="宋体" w:hAnsi="宋体"/>
                <w:szCs w:val="21"/>
              </w:rPr>
            </w:pPr>
          </w:p>
        </w:tc>
        <w:tc>
          <w:tcPr>
            <w:tcW w:w="720" w:type="dxa"/>
            <w:tcBorders>
              <w:left w:val="single" w:color="auto" w:sz="4" w:space="0"/>
              <w:bottom w:val="dotted" w:color="auto" w:sz="4" w:space="0"/>
              <w:right w:val="single" w:color="auto" w:sz="4" w:space="0"/>
            </w:tcBorders>
            <w:shd w:val="clear" w:color="auto" w:fill="auto"/>
          </w:tcPr>
          <w:p>
            <w:pPr>
              <w:tabs>
                <w:tab w:val="left" w:pos="0"/>
                <w:tab w:val="left" w:pos="540"/>
              </w:tabs>
              <w:snapToGrid w:val="0"/>
              <w:rPr>
                <w:rFonts w:ascii="宋体" w:hAnsi="宋体"/>
                <w:szCs w:val="21"/>
              </w:rPr>
            </w:pPr>
          </w:p>
        </w:tc>
        <w:tc>
          <w:tcPr>
            <w:tcW w:w="900" w:type="dxa"/>
            <w:tcBorders>
              <w:left w:val="single" w:color="auto" w:sz="4" w:space="0"/>
              <w:bottom w:val="dotted" w:color="auto" w:sz="4" w:space="0"/>
              <w:right w:val="single" w:color="auto" w:sz="4" w:space="0"/>
            </w:tcBorders>
            <w:shd w:val="clear" w:color="auto" w:fill="auto"/>
          </w:tcPr>
          <w:p>
            <w:pPr>
              <w:tabs>
                <w:tab w:val="left" w:pos="0"/>
                <w:tab w:val="left" w:pos="540"/>
              </w:tabs>
              <w:snapToGrid w:val="0"/>
              <w:jc w:val="center"/>
              <w:rPr>
                <w:rFonts w:ascii="宋体" w:hAnsi="宋体"/>
                <w:szCs w:val="21"/>
              </w:rPr>
            </w:pPr>
          </w:p>
        </w:tc>
        <w:tc>
          <w:tcPr>
            <w:tcW w:w="2124" w:type="dxa"/>
            <w:tcBorders>
              <w:left w:val="single" w:color="auto" w:sz="4" w:space="0"/>
              <w:bottom w:val="dotted" w:color="auto" w:sz="4" w:space="0"/>
              <w:right w:val="single" w:color="auto" w:sz="4" w:space="0"/>
            </w:tcBorders>
            <w:shd w:val="clear" w:color="auto" w:fill="auto"/>
          </w:tcPr>
          <w:p>
            <w:pPr>
              <w:tabs>
                <w:tab w:val="left" w:pos="0"/>
                <w:tab w:val="left" w:pos="540"/>
              </w:tabs>
              <w:snapToGrid w:val="0"/>
              <w:rPr>
                <w:rFonts w:ascii="宋体" w:hAnsi="宋体" w:cs="Arial"/>
                <w:szCs w:val="21"/>
              </w:rPr>
            </w:pPr>
          </w:p>
        </w:tc>
        <w:tc>
          <w:tcPr>
            <w:tcW w:w="1476" w:type="dxa"/>
            <w:tcBorders>
              <w:left w:val="single" w:color="auto" w:sz="4" w:space="0"/>
              <w:bottom w:val="dotted" w:color="auto" w:sz="4" w:space="0"/>
              <w:right w:val="single" w:color="auto" w:sz="4" w:space="0"/>
            </w:tcBorders>
            <w:shd w:val="clear" w:color="auto" w:fill="auto"/>
          </w:tcPr>
          <w:p>
            <w:pPr>
              <w:tabs>
                <w:tab w:val="left" w:pos="0"/>
                <w:tab w:val="left" w:pos="540"/>
              </w:tabs>
              <w:snapToGrid w:val="0"/>
              <w:jc w:val="center"/>
              <w:rPr>
                <w:rFonts w:ascii="宋体" w:hAnsi="宋体"/>
                <w:szCs w:val="21"/>
              </w:rPr>
            </w:pPr>
          </w:p>
        </w:tc>
        <w:tc>
          <w:tcPr>
            <w:tcW w:w="720" w:type="dxa"/>
            <w:tcBorders>
              <w:left w:val="single" w:color="auto" w:sz="4" w:space="0"/>
              <w:bottom w:val="dotted" w:color="auto" w:sz="4" w:space="0"/>
              <w:right w:val="single" w:color="auto" w:sz="4" w:space="0"/>
            </w:tcBorders>
            <w:shd w:val="clear" w:color="auto" w:fill="auto"/>
          </w:tcPr>
          <w:p>
            <w:pPr>
              <w:tabs>
                <w:tab w:val="left" w:pos="0"/>
                <w:tab w:val="left" w:pos="540"/>
              </w:tabs>
              <w:snapToGrid w:val="0"/>
              <w:jc w:val="center"/>
              <w:rPr>
                <w:rFonts w:ascii="宋体" w:hAnsi="宋体"/>
                <w:szCs w:val="21"/>
              </w:rPr>
            </w:pPr>
          </w:p>
        </w:tc>
        <w:tc>
          <w:tcPr>
            <w:tcW w:w="1090" w:type="dxa"/>
            <w:tcBorders>
              <w:left w:val="single" w:color="auto" w:sz="4" w:space="0"/>
              <w:right w:val="single" w:color="auto" w:sz="4" w:space="0"/>
            </w:tcBorders>
            <w:shd w:val="clear" w:color="auto" w:fill="auto"/>
          </w:tcPr>
          <w:p>
            <w:pPr>
              <w:tabs>
                <w:tab w:val="left" w:pos="0"/>
                <w:tab w:val="left" w:pos="540"/>
              </w:tabs>
              <w:snapToGrid w:val="0"/>
              <w:rPr>
                <w:rFonts w:ascii="宋体" w:hAnsi="宋体"/>
                <w:szCs w:val="21"/>
              </w:rPr>
            </w:pPr>
          </w:p>
        </w:tc>
        <w:tc>
          <w:tcPr>
            <w:tcW w:w="1250" w:type="dxa"/>
            <w:tcBorders>
              <w:left w:val="single" w:color="auto" w:sz="4" w:space="0"/>
            </w:tcBorders>
            <w:shd w:val="clear" w:color="auto" w:fill="auto"/>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080" w:type="dxa"/>
            <w:tcBorders>
              <w:bottom w:val="dotted" w:color="auto" w:sz="4" w:space="0"/>
              <w:right w:val="single" w:color="auto" w:sz="4" w:space="0"/>
            </w:tcBorders>
            <w:shd w:val="clear" w:color="auto" w:fill="auto"/>
          </w:tcPr>
          <w:p>
            <w:pPr>
              <w:snapToGrid w:val="0"/>
              <w:rPr>
                <w:rFonts w:ascii="宋体" w:hAnsi="宋体"/>
                <w:szCs w:val="21"/>
              </w:rPr>
            </w:pPr>
          </w:p>
        </w:tc>
        <w:tc>
          <w:tcPr>
            <w:tcW w:w="720" w:type="dxa"/>
            <w:tcBorders>
              <w:left w:val="single" w:color="auto" w:sz="4" w:space="0"/>
              <w:bottom w:val="dotted" w:color="auto" w:sz="4" w:space="0"/>
              <w:right w:val="single" w:color="auto" w:sz="4" w:space="0"/>
            </w:tcBorders>
            <w:shd w:val="clear" w:color="auto" w:fill="auto"/>
          </w:tcPr>
          <w:p>
            <w:pPr>
              <w:tabs>
                <w:tab w:val="left" w:pos="0"/>
                <w:tab w:val="left" w:pos="540"/>
              </w:tabs>
              <w:snapToGrid w:val="0"/>
              <w:rPr>
                <w:rFonts w:ascii="宋体" w:hAnsi="宋体"/>
                <w:szCs w:val="21"/>
              </w:rPr>
            </w:pPr>
          </w:p>
        </w:tc>
        <w:tc>
          <w:tcPr>
            <w:tcW w:w="900" w:type="dxa"/>
            <w:tcBorders>
              <w:left w:val="single" w:color="auto" w:sz="4" w:space="0"/>
              <w:bottom w:val="dotted" w:color="auto" w:sz="4" w:space="0"/>
              <w:right w:val="single" w:color="auto" w:sz="4" w:space="0"/>
            </w:tcBorders>
            <w:shd w:val="clear" w:color="auto" w:fill="auto"/>
          </w:tcPr>
          <w:p>
            <w:pPr>
              <w:tabs>
                <w:tab w:val="left" w:pos="0"/>
                <w:tab w:val="left" w:pos="540"/>
              </w:tabs>
              <w:snapToGrid w:val="0"/>
              <w:jc w:val="center"/>
              <w:rPr>
                <w:rFonts w:ascii="宋体" w:hAnsi="宋体"/>
                <w:szCs w:val="21"/>
              </w:rPr>
            </w:pPr>
          </w:p>
        </w:tc>
        <w:tc>
          <w:tcPr>
            <w:tcW w:w="2124" w:type="dxa"/>
            <w:tcBorders>
              <w:left w:val="single" w:color="auto" w:sz="4" w:space="0"/>
              <w:bottom w:val="dotted" w:color="auto" w:sz="4" w:space="0"/>
              <w:right w:val="single" w:color="auto" w:sz="4" w:space="0"/>
            </w:tcBorders>
            <w:shd w:val="clear" w:color="auto" w:fill="auto"/>
          </w:tcPr>
          <w:p>
            <w:pPr>
              <w:tabs>
                <w:tab w:val="left" w:pos="0"/>
                <w:tab w:val="left" w:pos="540"/>
              </w:tabs>
              <w:snapToGrid w:val="0"/>
              <w:rPr>
                <w:rFonts w:ascii="宋体" w:hAnsi="宋体" w:cs="Arial"/>
                <w:szCs w:val="21"/>
              </w:rPr>
            </w:pPr>
          </w:p>
        </w:tc>
        <w:tc>
          <w:tcPr>
            <w:tcW w:w="1476" w:type="dxa"/>
            <w:tcBorders>
              <w:left w:val="single" w:color="auto" w:sz="4" w:space="0"/>
              <w:bottom w:val="dotted" w:color="auto" w:sz="4" w:space="0"/>
              <w:right w:val="single" w:color="auto" w:sz="4" w:space="0"/>
            </w:tcBorders>
            <w:shd w:val="clear" w:color="auto" w:fill="auto"/>
          </w:tcPr>
          <w:p>
            <w:pPr>
              <w:tabs>
                <w:tab w:val="left" w:pos="0"/>
                <w:tab w:val="left" w:pos="540"/>
              </w:tabs>
              <w:snapToGrid w:val="0"/>
              <w:jc w:val="center"/>
              <w:rPr>
                <w:rFonts w:ascii="宋体" w:hAnsi="宋体"/>
                <w:szCs w:val="21"/>
              </w:rPr>
            </w:pPr>
          </w:p>
        </w:tc>
        <w:tc>
          <w:tcPr>
            <w:tcW w:w="720" w:type="dxa"/>
            <w:tcBorders>
              <w:left w:val="single" w:color="auto" w:sz="4" w:space="0"/>
              <w:bottom w:val="dotted" w:color="auto" w:sz="4" w:space="0"/>
              <w:right w:val="single" w:color="auto" w:sz="4" w:space="0"/>
            </w:tcBorders>
            <w:shd w:val="clear" w:color="auto" w:fill="auto"/>
          </w:tcPr>
          <w:p>
            <w:pPr>
              <w:tabs>
                <w:tab w:val="left" w:pos="0"/>
                <w:tab w:val="left" w:pos="540"/>
              </w:tabs>
              <w:snapToGrid w:val="0"/>
              <w:jc w:val="center"/>
              <w:rPr>
                <w:rFonts w:ascii="宋体" w:hAnsi="宋体"/>
                <w:szCs w:val="21"/>
              </w:rPr>
            </w:pPr>
          </w:p>
        </w:tc>
        <w:tc>
          <w:tcPr>
            <w:tcW w:w="1090" w:type="dxa"/>
            <w:tcBorders>
              <w:left w:val="single" w:color="auto" w:sz="4" w:space="0"/>
              <w:right w:val="single" w:color="auto" w:sz="4" w:space="0"/>
            </w:tcBorders>
            <w:shd w:val="clear" w:color="auto" w:fill="auto"/>
          </w:tcPr>
          <w:p>
            <w:pPr>
              <w:tabs>
                <w:tab w:val="left" w:pos="0"/>
                <w:tab w:val="left" w:pos="540"/>
              </w:tabs>
              <w:snapToGrid w:val="0"/>
              <w:rPr>
                <w:rFonts w:ascii="宋体" w:hAnsi="宋体"/>
                <w:szCs w:val="21"/>
              </w:rPr>
            </w:pPr>
          </w:p>
        </w:tc>
        <w:tc>
          <w:tcPr>
            <w:tcW w:w="1250" w:type="dxa"/>
            <w:tcBorders>
              <w:left w:val="single" w:color="auto" w:sz="4" w:space="0"/>
            </w:tcBorders>
            <w:shd w:val="clear" w:color="auto" w:fill="auto"/>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080" w:type="dxa"/>
            <w:tcBorders>
              <w:bottom w:val="dotted" w:color="auto" w:sz="4" w:space="0"/>
              <w:right w:val="single" w:color="auto" w:sz="4" w:space="0"/>
            </w:tcBorders>
            <w:shd w:val="clear" w:color="auto" w:fill="auto"/>
          </w:tcPr>
          <w:p>
            <w:pPr>
              <w:snapToGrid w:val="0"/>
              <w:rPr>
                <w:rFonts w:ascii="宋体" w:hAnsi="宋体"/>
                <w:szCs w:val="21"/>
              </w:rPr>
            </w:pPr>
          </w:p>
        </w:tc>
        <w:tc>
          <w:tcPr>
            <w:tcW w:w="720" w:type="dxa"/>
            <w:tcBorders>
              <w:left w:val="single" w:color="auto" w:sz="4" w:space="0"/>
              <w:bottom w:val="dotted" w:color="auto" w:sz="4" w:space="0"/>
              <w:right w:val="single" w:color="auto" w:sz="4" w:space="0"/>
            </w:tcBorders>
            <w:shd w:val="clear" w:color="auto" w:fill="auto"/>
          </w:tcPr>
          <w:p>
            <w:pPr>
              <w:tabs>
                <w:tab w:val="left" w:pos="0"/>
                <w:tab w:val="left" w:pos="540"/>
              </w:tabs>
              <w:snapToGrid w:val="0"/>
              <w:rPr>
                <w:rFonts w:ascii="宋体" w:hAnsi="宋体"/>
                <w:szCs w:val="21"/>
              </w:rPr>
            </w:pPr>
          </w:p>
        </w:tc>
        <w:tc>
          <w:tcPr>
            <w:tcW w:w="900" w:type="dxa"/>
            <w:tcBorders>
              <w:left w:val="single" w:color="auto" w:sz="4" w:space="0"/>
              <w:bottom w:val="dotted" w:color="auto" w:sz="4" w:space="0"/>
              <w:right w:val="single" w:color="auto" w:sz="4" w:space="0"/>
            </w:tcBorders>
            <w:shd w:val="clear" w:color="auto" w:fill="auto"/>
          </w:tcPr>
          <w:p>
            <w:pPr>
              <w:tabs>
                <w:tab w:val="left" w:pos="0"/>
                <w:tab w:val="left" w:pos="540"/>
              </w:tabs>
              <w:snapToGrid w:val="0"/>
              <w:jc w:val="center"/>
              <w:rPr>
                <w:rFonts w:ascii="宋体" w:hAnsi="宋体"/>
                <w:szCs w:val="21"/>
              </w:rPr>
            </w:pPr>
          </w:p>
        </w:tc>
        <w:tc>
          <w:tcPr>
            <w:tcW w:w="2124" w:type="dxa"/>
            <w:tcBorders>
              <w:left w:val="single" w:color="auto" w:sz="4" w:space="0"/>
              <w:bottom w:val="dotted" w:color="auto" w:sz="4" w:space="0"/>
              <w:right w:val="single" w:color="auto" w:sz="4" w:space="0"/>
            </w:tcBorders>
            <w:shd w:val="clear" w:color="auto" w:fill="auto"/>
          </w:tcPr>
          <w:p>
            <w:pPr>
              <w:tabs>
                <w:tab w:val="left" w:pos="0"/>
                <w:tab w:val="left" w:pos="540"/>
              </w:tabs>
              <w:snapToGrid w:val="0"/>
              <w:rPr>
                <w:rFonts w:ascii="宋体" w:hAnsi="宋体" w:cs="Arial"/>
                <w:szCs w:val="21"/>
              </w:rPr>
            </w:pPr>
          </w:p>
        </w:tc>
        <w:tc>
          <w:tcPr>
            <w:tcW w:w="1476" w:type="dxa"/>
            <w:tcBorders>
              <w:left w:val="single" w:color="auto" w:sz="4" w:space="0"/>
              <w:bottom w:val="dotted" w:color="auto" w:sz="4" w:space="0"/>
              <w:right w:val="single" w:color="auto" w:sz="4" w:space="0"/>
            </w:tcBorders>
            <w:shd w:val="clear" w:color="auto" w:fill="auto"/>
          </w:tcPr>
          <w:p>
            <w:pPr>
              <w:tabs>
                <w:tab w:val="left" w:pos="0"/>
                <w:tab w:val="left" w:pos="540"/>
              </w:tabs>
              <w:snapToGrid w:val="0"/>
              <w:jc w:val="center"/>
              <w:rPr>
                <w:rFonts w:ascii="宋体" w:hAnsi="宋体"/>
                <w:szCs w:val="21"/>
              </w:rPr>
            </w:pPr>
          </w:p>
        </w:tc>
        <w:tc>
          <w:tcPr>
            <w:tcW w:w="720" w:type="dxa"/>
            <w:tcBorders>
              <w:left w:val="single" w:color="auto" w:sz="4" w:space="0"/>
              <w:bottom w:val="dotted" w:color="auto" w:sz="4" w:space="0"/>
              <w:right w:val="single" w:color="auto" w:sz="4" w:space="0"/>
            </w:tcBorders>
            <w:shd w:val="clear" w:color="auto" w:fill="auto"/>
          </w:tcPr>
          <w:p>
            <w:pPr>
              <w:tabs>
                <w:tab w:val="left" w:pos="0"/>
                <w:tab w:val="left" w:pos="540"/>
              </w:tabs>
              <w:snapToGrid w:val="0"/>
              <w:jc w:val="center"/>
              <w:rPr>
                <w:rFonts w:ascii="宋体" w:hAnsi="宋体"/>
                <w:szCs w:val="21"/>
              </w:rPr>
            </w:pPr>
          </w:p>
        </w:tc>
        <w:tc>
          <w:tcPr>
            <w:tcW w:w="1090" w:type="dxa"/>
            <w:tcBorders>
              <w:left w:val="single" w:color="auto" w:sz="4" w:space="0"/>
              <w:right w:val="single" w:color="auto" w:sz="4" w:space="0"/>
            </w:tcBorders>
            <w:shd w:val="clear" w:color="auto" w:fill="auto"/>
          </w:tcPr>
          <w:p>
            <w:pPr>
              <w:tabs>
                <w:tab w:val="left" w:pos="0"/>
                <w:tab w:val="left" w:pos="540"/>
              </w:tabs>
              <w:snapToGrid w:val="0"/>
              <w:rPr>
                <w:rFonts w:ascii="宋体" w:hAnsi="宋体"/>
                <w:szCs w:val="21"/>
              </w:rPr>
            </w:pPr>
          </w:p>
        </w:tc>
        <w:tc>
          <w:tcPr>
            <w:tcW w:w="1250" w:type="dxa"/>
            <w:tcBorders>
              <w:left w:val="single" w:color="auto" w:sz="4" w:space="0"/>
            </w:tcBorders>
            <w:shd w:val="clear" w:color="auto" w:fill="auto"/>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trPr>
        <w:tc>
          <w:tcPr>
            <w:tcW w:w="6300" w:type="dxa"/>
            <w:gridSpan w:val="5"/>
            <w:vAlign w:val="center"/>
          </w:tcPr>
          <w:p>
            <w:pPr>
              <w:tabs>
                <w:tab w:val="left" w:pos="-809"/>
                <w:tab w:val="left" w:pos="540"/>
              </w:tabs>
              <w:snapToGrid w:val="0"/>
              <w:jc w:val="left"/>
              <w:rPr>
                <w:rFonts w:ascii="宋体" w:hAnsi="宋体"/>
                <w:szCs w:val="21"/>
              </w:rPr>
            </w:pPr>
            <w:r>
              <w:rPr>
                <w:rFonts w:hint="eastAsia" w:ascii="宋体" w:hAnsi="宋体"/>
                <w:szCs w:val="21"/>
              </w:rPr>
              <w:t xml:space="preserve">成交总价（大写）：人民币 </w:t>
            </w:r>
          </w:p>
        </w:tc>
        <w:tc>
          <w:tcPr>
            <w:tcW w:w="3060" w:type="dxa"/>
            <w:gridSpan w:val="3"/>
            <w:vAlign w:val="center"/>
          </w:tcPr>
          <w:p>
            <w:pPr>
              <w:tabs>
                <w:tab w:val="left" w:pos="-809"/>
                <w:tab w:val="left" w:pos="540"/>
              </w:tabs>
              <w:snapToGrid w:val="0"/>
              <w:rPr>
                <w:rFonts w:ascii="宋体" w:hAnsi="宋体"/>
                <w:szCs w:val="21"/>
              </w:rPr>
            </w:pPr>
            <w:r>
              <w:rPr>
                <w:rFonts w:hint="eastAsia" w:ascii="宋体" w:hAnsi="宋体"/>
                <w:szCs w:val="21"/>
              </w:rPr>
              <w:t xml:space="preserve">总计（小写）：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trPr>
        <w:tc>
          <w:tcPr>
            <w:tcW w:w="9360" w:type="dxa"/>
            <w:gridSpan w:val="8"/>
            <w:vAlign w:val="center"/>
          </w:tcPr>
          <w:p>
            <w:pPr>
              <w:tabs>
                <w:tab w:val="left" w:pos="0"/>
                <w:tab w:val="left" w:pos="540"/>
              </w:tabs>
              <w:snapToGrid w:val="0"/>
              <w:rPr>
                <w:rFonts w:ascii="宋体" w:hAnsi="宋体"/>
                <w:szCs w:val="21"/>
              </w:rPr>
            </w:pPr>
            <w:r>
              <w:rPr>
                <w:rFonts w:hint="eastAsia" w:ascii="宋体" w:hAnsi="宋体"/>
                <w:szCs w:val="21"/>
              </w:rPr>
              <w:t>设备配置清单：请见附页（共</w:t>
            </w:r>
            <w:r>
              <w:rPr>
                <w:rFonts w:hint="eastAsia" w:ascii="宋体" w:hAnsi="宋体"/>
                <w:color w:val="FF0000"/>
                <w:szCs w:val="21"/>
              </w:rPr>
              <w:t xml:space="preserve"> 1 </w:t>
            </w:r>
            <w:r>
              <w:rPr>
                <w:rFonts w:hint="eastAsia" w:ascii="宋体" w:hAnsi="宋体"/>
                <w:color w:val="000000"/>
                <w:szCs w:val="21"/>
              </w:rPr>
              <w:t>页）</w:t>
            </w:r>
            <w:r>
              <w:rPr>
                <w:rFonts w:hint="eastAsia" w:ascii="宋体" w:hAnsi="宋体"/>
                <w:szCs w:val="21"/>
              </w:rPr>
              <w:t>，以医院使用科室签字认可为准。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2700" w:type="dxa"/>
            <w:gridSpan w:val="3"/>
            <w:vAlign w:val="center"/>
          </w:tcPr>
          <w:p>
            <w:pPr>
              <w:tabs>
                <w:tab w:val="left" w:pos="0"/>
                <w:tab w:val="left" w:pos="540"/>
                <w:tab w:val="left" w:pos="9042"/>
              </w:tabs>
              <w:snapToGrid w:val="0"/>
              <w:rPr>
                <w:rFonts w:ascii="宋体" w:hAnsi="宋体"/>
                <w:szCs w:val="21"/>
              </w:rPr>
            </w:pPr>
            <w:r>
              <w:rPr>
                <w:rFonts w:hint="eastAsia" w:ascii="宋体" w:hAnsi="宋体"/>
                <w:szCs w:val="21"/>
              </w:rPr>
              <w:t>使用科室：</w:t>
            </w:r>
          </w:p>
        </w:tc>
        <w:tc>
          <w:tcPr>
            <w:tcW w:w="6660" w:type="dxa"/>
            <w:gridSpan w:val="5"/>
            <w:vAlign w:val="center"/>
          </w:tcPr>
          <w:p>
            <w:pPr>
              <w:tabs>
                <w:tab w:val="left" w:pos="0"/>
                <w:tab w:val="left" w:pos="540"/>
                <w:tab w:val="left" w:pos="9042"/>
              </w:tabs>
              <w:snapToGrid w:val="0"/>
              <w:rPr>
                <w:rFonts w:ascii="宋体" w:hAnsi="宋体"/>
                <w:szCs w:val="21"/>
              </w:rPr>
            </w:pPr>
            <w:r>
              <w:rPr>
                <w:rFonts w:hint="eastAsia" w:ascii="宋体" w:hAnsi="宋体"/>
                <w:szCs w:val="21"/>
              </w:rPr>
              <w:t>备注：合同价格为含税价格</w:t>
            </w:r>
          </w:p>
        </w:tc>
      </w:tr>
    </w:tbl>
    <w:p>
      <w:pPr>
        <w:ind w:right="-109" w:rightChars="-52"/>
        <w:rPr>
          <w:rFonts w:ascii="宋体" w:hAnsi="宋体"/>
          <w:b/>
          <w:szCs w:val="21"/>
        </w:rPr>
      </w:pPr>
      <w:r>
        <w:rPr>
          <w:rFonts w:hint="eastAsia" w:ascii="宋体" w:hAnsi="宋体"/>
          <w:b/>
          <w:szCs w:val="21"/>
        </w:rPr>
        <w:t>第二条：乙方须向甲方全部提供下述文件：</w:t>
      </w:r>
      <w:r>
        <w:rPr>
          <w:rFonts w:hint="eastAsia" w:ascii="宋体" w:hAnsi="宋体"/>
          <w:bCs/>
          <w:color w:val="FF0000"/>
          <w:szCs w:val="21"/>
          <w:u w:val="single"/>
        </w:rPr>
        <w:t>医疗器械经营许可证、中华人民共和国医疗器械注册证、代理授权书。</w:t>
      </w:r>
    </w:p>
    <w:p>
      <w:pPr>
        <w:ind w:right="-109" w:rightChars="-52"/>
        <w:rPr>
          <w:rFonts w:ascii="宋体" w:hAnsi="宋体"/>
          <w:bCs/>
          <w:szCs w:val="21"/>
          <w:u w:val="single"/>
        </w:rPr>
      </w:pPr>
      <w:r>
        <w:rPr>
          <w:rFonts w:hint="eastAsia" w:ascii="宋体" w:hAnsi="宋体"/>
          <w:b/>
          <w:szCs w:val="21"/>
        </w:rPr>
        <w:t>第三条:乙方保修的条件和期限：</w:t>
      </w:r>
      <w:r>
        <w:rPr>
          <w:rFonts w:hint="eastAsia" w:ascii="宋体" w:hAnsi="宋体"/>
          <w:bCs/>
          <w:color w:val="FF0000"/>
          <w:szCs w:val="21"/>
          <w:u w:val="single"/>
        </w:rPr>
        <w:t>产品经甲方验收</w:t>
      </w:r>
      <w:r>
        <w:rPr>
          <w:rFonts w:hint="eastAsia" w:ascii="宋体" w:hAnsi="宋体"/>
          <w:color w:val="FF0000"/>
          <w:szCs w:val="21"/>
          <w:u w:val="single"/>
        </w:rPr>
        <w:t>合格之日起由乙方免费保修</w:t>
      </w:r>
      <w:r>
        <w:rPr>
          <w:rFonts w:hint="eastAsia" w:ascii="宋体" w:hAnsi="宋体"/>
          <w:b/>
          <w:i/>
          <w:color w:val="FF0000"/>
          <w:szCs w:val="21"/>
          <w:u w:val="single"/>
        </w:rPr>
        <w:t>叁</w:t>
      </w:r>
      <w:r>
        <w:rPr>
          <w:rFonts w:hint="eastAsia" w:ascii="宋体" w:hAnsi="宋体"/>
          <w:color w:val="FF0000"/>
          <w:szCs w:val="21"/>
          <w:u w:val="single"/>
        </w:rPr>
        <w:t xml:space="preserve">年 </w:t>
      </w:r>
      <w:r>
        <w:rPr>
          <w:rFonts w:hint="eastAsia" w:ascii="宋体" w:hAnsi="宋体"/>
          <w:bCs/>
          <w:color w:val="FF0000"/>
          <w:szCs w:val="21"/>
          <w:u w:val="single"/>
        </w:rPr>
        <w:t>。</w:t>
      </w:r>
      <w:r>
        <w:rPr>
          <w:rFonts w:hint="eastAsia" w:ascii="宋体" w:hAnsi="宋体"/>
          <w:bCs/>
          <w:szCs w:val="21"/>
          <w:u w:val="single"/>
        </w:rPr>
        <w:t>乙方除为甲方使用科室提供《使用手册》外，还须为甲方设备处提供《维修手册》。</w:t>
      </w:r>
    </w:p>
    <w:p>
      <w:pPr>
        <w:ind w:right="-109" w:rightChars="-52"/>
        <w:rPr>
          <w:rFonts w:ascii="宋体" w:hAnsi="宋体"/>
          <w:spacing w:val="18"/>
          <w:szCs w:val="21"/>
          <w:u w:val="single"/>
        </w:rPr>
      </w:pPr>
      <w:r>
        <w:rPr>
          <w:rFonts w:hint="eastAsia" w:ascii="宋体" w:hAnsi="宋体"/>
          <w:b/>
          <w:szCs w:val="21"/>
        </w:rPr>
        <w:t>第四条: 交货地点：</w:t>
      </w:r>
      <w:r>
        <w:rPr>
          <w:rFonts w:hint="eastAsia" w:ascii="宋体" w:hAnsi="宋体"/>
          <w:spacing w:val="18"/>
          <w:szCs w:val="21"/>
          <w:u w:val="single"/>
        </w:rPr>
        <w:t xml:space="preserve">北京大学人民医院。  </w:t>
      </w:r>
    </w:p>
    <w:p>
      <w:pPr>
        <w:ind w:right="-109" w:rightChars="-52"/>
        <w:rPr>
          <w:rFonts w:ascii="宋体" w:hAnsi="宋体"/>
          <w:b/>
          <w:szCs w:val="21"/>
        </w:rPr>
      </w:pPr>
      <w:r>
        <w:rPr>
          <w:rFonts w:hint="eastAsia" w:ascii="宋体" w:hAnsi="宋体"/>
          <w:b/>
          <w:szCs w:val="21"/>
        </w:rPr>
        <w:t>第五条: 运输方式及到达站港和费用负担：</w:t>
      </w:r>
      <w:r>
        <w:rPr>
          <w:rFonts w:hint="eastAsia" w:ascii="宋体" w:hAnsi="宋体"/>
          <w:szCs w:val="21"/>
          <w:u w:val="single"/>
        </w:rPr>
        <w:t xml:space="preserve">乙方承担卸货、运输保险等相关费用，免费送货至甲方指定场所并负责免费安装培训。 </w:t>
      </w:r>
    </w:p>
    <w:p>
      <w:pPr>
        <w:ind w:right="-109" w:rightChars="-52"/>
        <w:rPr>
          <w:rFonts w:ascii="宋体" w:hAnsi="宋体"/>
          <w:b/>
          <w:szCs w:val="21"/>
        </w:rPr>
      </w:pPr>
      <w:r>
        <w:rPr>
          <w:rFonts w:hint="eastAsia" w:ascii="宋体" w:hAnsi="宋体"/>
          <w:b/>
          <w:szCs w:val="21"/>
        </w:rPr>
        <w:t>第六条: 到货期：</w:t>
      </w:r>
      <w:r>
        <w:rPr>
          <w:rFonts w:hint="eastAsia" w:ascii="宋体" w:hAnsi="宋体"/>
          <w:color w:val="FF0000"/>
          <w:szCs w:val="21"/>
          <w:u w:val="single"/>
        </w:rPr>
        <w:t>合同生效后       天内到货。</w:t>
      </w:r>
    </w:p>
    <w:p>
      <w:pPr>
        <w:ind w:right="-109" w:rightChars="-52"/>
        <w:rPr>
          <w:rFonts w:ascii="宋体" w:hAnsi="宋体"/>
          <w:b/>
          <w:szCs w:val="21"/>
        </w:rPr>
      </w:pPr>
      <w:r>
        <w:rPr>
          <w:rFonts w:hint="eastAsia" w:ascii="宋体" w:hAnsi="宋体"/>
          <w:b/>
          <w:szCs w:val="21"/>
        </w:rPr>
        <w:t>第七条: 包装标准</w:t>
      </w:r>
      <w:r>
        <w:rPr>
          <w:rFonts w:hint="eastAsia" w:ascii="宋体" w:hAnsi="宋体"/>
          <w:szCs w:val="21"/>
        </w:rPr>
        <w:t>：</w:t>
      </w:r>
      <w:r>
        <w:rPr>
          <w:rFonts w:hint="eastAsia" w:ascii="宋体" w:hAnsi="宋体"/>
          <w:szCs w:val="21"/>
          <w:u w:val="single"/>
        </w:rPr>
        <w:t xml:space="preserve"> 乙方必须提供未经使用的全新产品，采用厂家原装包装。</w:t>
      </w:r>
    </w:p>
    <w:p>
      <w:pPr>
        <w:ind w:right="-109" w:rightChars="-52"/>
        <w:rPr>
          <w:rFonts w:ascii="宋体" w:hAnsi="宋体"/>
          <w:b/>
          <w:szCs w:val="21"/>
        </w:rPr>
      </w:pPr>
      <w:r>
        <w:rPr>
          <w:rFonts w:hint="eastAsia" w:ascii="宋体" w:hAnsi="宋体"/>
          <w:b/>
          <w:szCs w:val="21"/>
        </w:rPr>
        <w:t>第八条:</w:t>
      </w:r>
      <w:r>
        <w:rPr>
          <w:rFonts w:hint="eastAsia" w:ascii="宋体" w:hAnsi="宋体"/>
          <w:b/>
          <w:spacing w:val="-6"/>
          <w:szCs w:val="21"/>
        </w:rPr>
        <w:t xml:space="preserve"> 验收标准、方式：</w:t>
      </w:r>
      <w:r>
        <w:rPr>
          <w:rFonts w:hint="eastAsia" w:ascii="宋体" w:hAnsi="宋体"/>
          <w:spacing w:val="-6"/>
          <w:szCs w:val="21"/>
          <w:u w:val="single"/>
        </w:rPr>
        <w:t xml:space="preserve"> 不低于生产厂家(</w:t>
      </w:r>
      <w:r>
        <w:rPr>
          <w:rFonts w:hint="eastAsia" w:ascii="宋体" w:hAnsi="宋体"/>
          <w:color w:val="FF0000"/>
          <w:spacing w:val="-6"/>
          <w:szCs w:val="21"/>
          <w:u w:val="single"/>
        </w:rPr>
        <w:t>填写生产厂商名称</w:t>
      </w:r>
      <w:r>
        <w:rPr>
          <w:rFonts w:hint="eastAsia" w:ascii="宋体" w:hAnsi="宋体"/>
          <w:spacing w:val="-6"/>
          <w:szCs w:val="21"/>
          <w:u w:val="single"/>
        </w:rPr>
        <w:t xml:space="preserve">)提供的出厂标准，经国家有关部门批准的技术标准和验收方法，甲、乙双方共同现场验收。属于法定商检的，需提供《入境货物检验检疫证明》。  </w:t>
      </w:r>
    </w:p>
    <w:p>
      <w:pPr>
        <w:tabs>
          <w:tab w:val="left" w:pos="5195"/>
        </w:tabs>
        <w:adjustRightInd w:val="0"/>
        <w:snapToGrid w:val="0"/>
        <w:ind w:right="-23" w:rightChars="-11"/>
        <w:rPr>
          <w:rFonts w:ascii="宋体" w:hAnsi="宋体"/>
          <w:color w:val="FF0000"/>
          <w:szCs w:val="21"/>
          <w:u w:val="single"/>
        </w:rPr>
      </w:pPr>
      <w:r>
        <w:rPr>
          <w:rFonts w:hint="eastAsia" w:ascii="宋体" w:hAnsi="宋体"/>
          <w:b/>
          <w:szCs w:val="21"/>
        </w:rPr>
        <w:t>第九条: 付款方式及期限</w:t>
      </w:r>
      <w:r>
        <w:rPr>
          <w:rFonts w:hint="eastAsia" w:ascii="宋体" w:hAnsi="宋体"/>
          <w:szCs w:val="21"/>
        </w:rPr>
        <w:t>：</w:t>
      </w:r>
      <w:r>
        <w:rPr>
          <w:rFonts w:hint="eastAsia" w:ascii="宋体" w:hAnsi="宋体"/>
          <w:color w:val="000000"/>
          <w:szCs w:val="21"/>
          <w:u w:val="single"/>
        </w:rPr>
        <w:t>货到验收合格（指甲方提供的设备功能或运行验收合格）后</w:t>
      </w:r>
    </w:p>
    <w:p>
      <w:pPr>
        <w:tabs>
          <w:tab w:val="left" w:pos="5195"/>
        </w:tabs>
        <w:adjustRightInd w:val="0"/>
        <w:snapToGrid w:val="0"/>
        <w:ind w:right="-23" w:rightChars="-11"/>
        <w:rPr>
          <w:rFonts w:ascii="宋体" w:hAnsi="宋体"/>
          <w:szCs w:val="21"/>
        </w:rPr>
      </w:pPr>
      <w:r>
        <w:rPr>
          <w:rFonts w:hint="eastAsia" w:ascii="宋体" w:hAnsi="宋体"/>
          <w:color w:val="FF0000"/>
          <w:szCs w:val="21"/>
        </w:rPr>
        <w:t xml:space="preserve">   </w:t>
      </w:r>
      <w:r>
        <w:rPr>
          <w:rFonts w:hint="eastAsia" w:ascii="宋体" w:hAnsi="宋体"/>
          <w:color w:val="000000"/>
          <w:szCs w:val="21"/>
        </w:rPr>
        <w:t xml:space="preserve"> A．首付80% 保修期后余款20%    B.首款90% 保修期后余款10%          </w:t>
      </w:r>
      <w:r>
        <w:rPr>
          <w:rFonts w:hint="eastAsia"/>
        </w:rPr>
        <w:t>√</w:t>
      </w:r>
      <w:r>
        <w:rPr>
          <w:rFonts w:hint="eastAsia" w:ascii="宋体" w:hAnsi="宋体"/>
          <w:color w:val="000000"/>
          <w:szCs w:val="21"/>
        </w:rPr>
        <w:t>C.付全款</w:t>
      </w:r>
      <w:r>
        <w:rPr>
          <w:rFonts w:hint="eastAsia" w:ascii="宋体" w:hAnsi="宋体"/>
          <w:szCs w:val="21"/>
        </w:rPr>
        <w:t xml:space="preserve">                               </w:t>
      </w:r>
    </w:p>
    <w:p>
      <w:pPr>
        <w:ind w:right="-109" w:rightChars="-52"/>
        <w:rPr>
          <w:rFonts w:ascii="宋体" w:hAnsi="宋体"/>
          <w:b/>
          <w:szCs w:val="21"/>
        </w:rPr>
      </w:pPr>
      <w:r>
        <w:rPr>
          <w:rFonts w:hint="eastAsia" w:ascii="宋体" w:hAnsi="宋体"/>
          <w:b/>
          <w:szCs w:val="21"/>
        </w:rPr>
        <w:t>第十条: 违约责任：</w:t>
      </w:r>
      <w:r>
        <w:rPr>
          <w:rFonts w:hint="eastAsia" w:ascii="宋体" w:hAnsi="宋体"/>
          <w:color w:val="000000"/>
          <w:szCs w:val="21"/>
          <w:u w:val="single"/>
        </w:rPr>
        <w:t xml:space="preserve"> 合同双方如有一方不履行合同义务或者履行合同义务不符合合同约定给对方造成损失,则全部损失及责任由违约方承担。</w:t>
      </w:r>
    </w:p>
    <w:p>
      <w:pPr>
        <w:ind w:right="-109" w:rightChars="-52"/>
        <w:rPr>
          <w:rFonts w:ascii="宋体" w:hAnsi="宋体"/>
          <w:b/>
          <w:color w:val="000000"/>
          <w:szCs w:val="21"/>
        </w:rPr>
      </w:pPr>
      <w:r>
        <w:rPr>
          <w:rFonts w:hint="eastAsia" w:ascii="宋体" w:hAnsi="宋体"/>
          <w:b/>
          <w:szCs w:val="21"/>
        </w:rPr>
        <w:t>第十一条: 解决合同纠纷的方式：</w:t>
      </w:r>
      <w:r>
        <w:rPr>
          <w:rFonts w:hint="eastAsia" w:ascii="宋体" w:hAnsi="宋体"/>
          <w:szCs w:val="21"/>
          <w:u w:val="single"/>
        </w:rPr>
        <w:t>双方根据本合同原则，友好协商解决</w:t>
      </w:r>
      <w:r>
        <w:rPr>
          <w:rFonts w:hint="eastAsia" w:ascii="宋体" w:hAnsi="宋体"/>
          <w:color w:val="000000"/>
          <w:szCs w:val="21"/>
          <w:u w:val="single"/>
        </w:rPr>
        <w:t>。协商无效的，任何一方均可按照《中华人民共和国民法典》采取法律程序向本合同履行所在地的北京市西城区人民法院起诉解决争端。</w:t>
      </w:r>
    </w:p>
    <w:p>
      <w:pPr>
        <w:ind w:right="-109" w:rightChars="-52"/>
        <w:rPr>
          <w:rFonts w:ascii="宋体" w:hAnsi="宋体"/>
          <w:b/>
          <w:szCs w:val="21"/>
        </w:rPr>
      </w:pPr>
      <w:r>
        <w:rPr>
          <w:rFonts w:hint="eastAsia" w:ascii="宋体" w:hAnsi="宋体"/>
          <w:b/>
          <w:szCs w:val="21"/>
        </w:rPr>
        <w:t>第十二条: 其他约定事项：</w:t>
      </w:r>
      <w:r>
        <w:rPr>
          <w:rFonts w:hint="eastAsia" w:ascii="宋体" w:hAnsi="宋体"/>
          <w:color w:val="000000"/>
          <w:szCs w:val="21"/>
          <w:u w:val="single"/>
        </w:rPr>
        <w:t xml:space="preserve"> 甲乙双方不得收、送各类形式的商业回扣或贿赂，采购过程中如有任何形式的商业贿赂行为，一经核实守约方可追究违约方的法律责任。双方合同签定后，未经甲方同意乙方不得擅自解除合同。本合同经甲、乙双方签字盖章生效，本合同甲方执三份，乙方执一份。本合同未提到的部分，请参照《中华人民共和国民法典》。</w:t>
      </w:r>
    </w:p>
    <w:p>
      <w:pPr>
        <w:ind w:right="-109" w:rightChars="-52"/>
        <w:rPr>
          <w:rFonts w:ascii="宋体" w:hAnsi="宋体"/>
          <w:b/>
          <w:szCs w:val="21"/>
        </w:rPr>
      </w:pPr>
      <w:r>
        <w:rPr>
          <w:rFonts w:hint="eastAsia" w:ascii="宋体" w:hAnsi="宋体"/>
          <w:b/>
          <w:szCs w:val="21"/>
        </w:rPr>
        <w:t>第十三条:</w:t>
      </w:r>
      <w:r>
        <w:rPr>
          <w:rFonts w:hint="eastAsia" w:ascii="宋体" w:hAnsi="宋体"/>
          <w:b/>
          <w:color w:val="FF0000"/>
          <w:szCs w:val="21"/>
        </w:rPr>
        <w:t xml:space="preserve">       </w:t>
      </w:r>
      <w:r>
        <w:rPr>
          <w:rFonts w:hint="eastAsia" w:ascii="宋体" w:hAnsi="宋体"/>
          <w:b/>
          <w:color w:val="000000"/>
          <w:szCs w:val="21"/>
        </w:rPr>
        <w:t xml:space="preserve">               甲    方</w:t>
      </w:r>
      <w:r>
        <w:rPr>
          <w:rFonts w:hint="eastAsia" w:ascii="宋体" w:hAnsi="宋体"/>
          <w:b/>
          <w:color w:val="FF0000"/>
          <w:szCs w:val="21"/>
        </w:rPr>
        <w:t xml:space="preserve">                            </w:t>
      </w:r>
      <w:r>
        <w:rPr>
          <w:rFonts w:hint="eastAsia" w:ascii="宋体" w:hAnsi="宋体"/>
          <w:b/>
          <w:color w:val="000000"/>
          <w:szCs w:val="21"/>
        </w:rPr>
        <w:t xml:space="preserve"> 乙    方</w:t>
      </w:r>
    </w:p>
    <w:tbl>
      <w:tblPr>
        <w:tblStyle w:val="10"/>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3701"/>
        <w:gridCol w:w="3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vAlign w:val="center"/>
          </w:tcPr>
          <w:p>
            <w:pPr>
              <w:tabs>
                <w:tab w:val="left" w:pos="720"/>
              </w:tabs>
              <w:snapToGrid w:val="0"/>
              <w:ind w:left="71" w:leftChars="34"/>
              <w:jc w:val="center"/>
              <w:rPr>
                <w:rFonts w:ascii="宋体" w:hAnsi="宋体" w:cs="Arial"/>
                <w:b/>
                <w:szCs w:val="21"/>
              </w:rPr>
            </w:pPr>
            <w:r>
              <w:rPr>
                <w:rFonts w:ascii="宋体" w:hAnsi="宋体" w:cs="Arial"/>
                <w:b/>
                <w:szCs w:val="21"/>
              </w:rPr>
              <w:t>单位名称（章）</w:t>
            </w:r>
          </w:p>
        </w:tc>
        <w:tc>
          <w:tcPr>
            <w:tcW w:w="3701" w:type="dxa"/>
            <w:vAlign w:val="center"/>
          </w:tcPr>
          <w:p>
            <w:pPr>
              <w:tabs>
                <w:tab w:val="left" w:pos="0"/>
                <w:tab w:val="left" w:pos="720"/>
              </w:tabs>
              <w:snapToGrid w:val="0"/>
              <w:ind w:left="71" w:leftChars="34"/>
              <w:jc w:val="center"/>
              <w:rPr>
                <w:rFonts w:ascii="宋体" w:hAnsi="宋体" w:cs="Arial"/>
                <w:b/>
                <w:szCs w:val="21"/>
              </w:rPr>
            </w:pPr>
            <w:r>
              <w:rPr>
                <w:rFonts w:hint="eastAsia" w:ascii="宋体" w:hAnsi="宋体" w:cs="Arial"/>
                <w:b/>
                <w:szCs w:val="21"/>
              </w:rPr>
              <w:t>北京大学人民医院</w:t>
            </w:r>
          </w:p>
        </w:tc>
        <w:tc>
          <w:tcPr>
            <w:tcW w:w="3674" w:type="dxa"/>
            <w:vAlign w:val="center"/>
          </w:tcPr>
          <w:p>
            <w:pPr>
              <w:tabs>
                <w:tab w:val="left" w:pos="0"/>
                <w:tab w:val="left" w:pos="720"/>
              </w:tabs>
              <w:snapToGrid w:val="0"/>
              <w:ind w:left="71" w:leftChars="34"/>
              <w:jc w:val="center"/>
              <w:rPr>
                <w:rFonts w:ascii="宋体" w:hAnsi="宋体" w:cs="Arial"/>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vAlign w:val="center"/>
          </w:tcPr>
          <w:p>
            <w:pPr>
              <w:tabs>
                <w:tab w:val="left" w:pos="720"/>
              </w:tabs>
              <w:snapToGrid w:val="0"/>
              <w:ind w:left="71" w:leftChars="34"/>
              <w:jc w:val="center"/>
              <w:rPr>
                <w:rFonts w:ascii="宋体" w:hAnsi="宋体" w:cs="Arial"/>
                <w:b/>
                <w:szCs w:val="21"/>
              </w:rPr>
            </w:pPr>
            <w:r>
              <w:rPr>
                <w:rFonts w:ascii="宋体" w:hAnsi="宋体" w:cs="Arial"/>
                <w:b/>
                <w:szCs w:val="21"/>
              </w:rPr>
              <w:t>单位地址</w:t>
            </w:r>
          </w:p>
        </w:tc>
        <w:tc>
          <w:tcPr>
            <w:tcW w:w="3701" w:type="dxa"/>
            <w:vAlign w:val="center"/>
          </w:tcPr>
          <w:p>
            <w:pPr>
              <w:tabs>
                <w:tab w:val="left" w:pos="0"/>
                <w:tab w:val="left" w:pos="720"/>
              </w:tabs>
              <w:snapToGrid w:val="0"/>
              <w:ind w:left="71" w:leftChars="34"/>
              <w:jc w:val="center"/>
              <w:rPr>
                <w:rFonts w:ascii="宋体" w:hAnsi="宋体" w:cs="Arial"/>
                <w:b/>
                <w:szCs w:val="21"/>
              </w:rPr>
            </w:pPr>
            <w:r>
              <w:rPr>
                <w:rFonts w:ascii="宋体" w:hAnsi="宋体" w:cs="Arial"/>
                <w:b/>
                <w:szCs w:val="21"/>
              </w:rPr>
              <w:t>北京市西城区西直门南大街11号</w:t>
            </w:r>
          </w:p>
        </w:tc>
        <w:tc>
          <w:tcPr>
            <w:tcW w:w="3674" w:type="dxa"/>
            <w:vAlign w:val="center"/>
          </w:tcPr>
          <w:p>
            <w:pPr>
              <w:tabs>
                <w:tab w:val="left" w:pos="0"/>
                <w:tab w:val="left" w:pos="720"/>
              </w:tabs>
              <w:snapToGrid w:val="0"/>
              <w:ind w:left="71" w:leftChars="34"/>
              <w:jc w:val="center"/>
              <w:rPr>
                <w:rFonts w:ascii="宋体" w:hAnsi="宋体" w:cs="Arial"/>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vAlign w:val="center"/>
          </w:tcPr>
          <w:p>
            <w:pPr>
              <w:tabs>
                <w:tab w:val="left" w:pos="0"/>
                <w:tab w:val="left" w:pos="720"/>
              </w:tabs>
              <w:snapToGrid w:val="0"/>
              <w:ind w:left="71" w:leftChars="34"/>
              <w:jc w:val="center"/>
              <w:rPr>
                <w:rFonts w:ascii="宋体" w:hAnsi="宋体" w:cs="Arial"/>
                <w:b/>
                <w:szCs w:val="21"/>
              </w:rPr>
            </w:pPr>
            <w:r>
              <w:rPr>
                <w:rFonts w:hint="eastAsia" w:ascii="宋体" w:hAnsi="宋体" w:cs="Arial"/>
                <w:b/>
                <w:szCs w:val="21"/>
              </w:rPr>
              <w:t>法定代表人签字</w:t>
            </w:r>
          </w:p>
        </w:tc>
        <w:tc>
          <w:tcPr>
            <w:tcW w:w="3701" w:type="dxa"/>
            <w:vAlign w:val="center"/>
          </w:tcPr>
          <w:p>
            <w:pPr>
              <w:tabs>
                <w:tab w:val="left" w:pos="0"/>
                <w:tab w:val="left" w:pos="720"/>
              </w:tabs>
              <w:snapToGrid w:val="0"/>
              <w:ind w:left="71" w:leftChars="34"/>
              <w:jc w:val="center"/>
              <w:rPr>
                <w:rFonts w:ascii="宋体" w:hAnsi="宋体" w:cs="Arial"/>
                <w:b/>
                <w:szCs w:val="21"/>
              </w:rPr>
            </w:pPr>
          </w:p>
        </w:tc>
        <w:tc>
          <w:tcPr>
            <w:tcW w:w="3674" w:type="dxa"/>
            <w:vAlign w:val="center"/>
          </w:tcPr>
          <w:p>
            <w:pPr>
              <w:tabs>
                <w:tab w:val="left" w:pos="0"/>
                <w:tab w:val="left" w:pos="720"/>
              </w:tabs>
              <w:snapToGrid w:val="0"/>
              <w:rPr>
                <w:rFonts w:ascii="宋体" w:hAnsi="宋体" w:cs="Arial"/>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vAlign w:val="center"/>
          </w:tcPr>
          <w:p>
            <w:pPr>
              <w:tabs>
                <w:tab w:val="left" w:pos="0"/>
                <w:tab w:val="left" w:pos="720"/>
              </w:tabs>
              <w:snapToGrid w:val="0"/>
              <w:ind w:left="71" w:leftChars="34"/>
              <w:jc w:val="center"/>
              <w:rPr>
                <w:rFonts w:ascii="宋体" w:hAnsi="宋体" w:cs="Arial"/>
                <w:b/>
                <w:szCs w:val="21"/>
              </w:rPr>
            </w:pPr>
            <w:r>
              <w:rPr>
                <w:rFonts w:hint="eastAsia" w:ascii="宋体" w:hAnsi="宋体" w:cs="Arial"/>
                <w:b/>
                <w:szCs w:val="21"/>
              </w:rPr>
              <w:t>或委托代理人签字</w:t>
            </w:r>
          </w:p>
        </w:tc>
        <w:tc>
          <w:tcPr>
            <w:tcW w:w="3701" w:type="dxa"/>
            <w:vAlign w:val="center"/>
          </w:tcPr>
          <w:p>
            <w:pPr>
              <w:tabs>
                <w:tab w:val="left" w:pos="0"/>
                <w:tab w:val="left" w:pos="720"/>
              </w:tabs>
              <w:snapToGrid w:val="0"/>
              <w:ind w:left="71" w:leftChars="34"/>
              <w:jc w:val="center"/>
              <w:rPr>
                <w:rFonts w:ascii="宋体" w:hAnsi="宋体" w:cs="Arial"/>
                <w:b/>
                <w:szCs w:val="21"/>
              </w:rPr>
            </w:pPr>
          </w:p>
        </w:tc>
        <w:tc>
          <w:tcPr>
            <w:tcW w:w="3674" w:type="dxa"/>
            <w:vAlign w:val="center"/>
          </w:tcPr>
          <w:p>
            <w:pPr>
              <w:tabs>
                <w:tab w:val="left" w:pos="0"/>
                <w:tab w:val="left" w:pos="720"/>
              </w:tabs>
              <w:snapToGrid w:val="0"/>
              <w:ind w:right="420"/>
              <w:rPr>
                <w:rFonts w:ascii="宋体" w:hAnsi="宋体" w:cs="Arial"/>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vAlign w:val="center"/>
          </w:tcPr>
          <w:p>
            <w:pPr>
              <w:tabs>
                <w:tab w:val="left" w:pos="0"/>
                <w:tab w:val="left" w:pos="720"/>
              </w:tabs>
              <w:snapToGrid w:val="0"/>
              <w:ind w:left="71" w:leftChars="34"/>
              <w:jc w:val="center"/>
              <w:rPr>
                <w:rFonts w:ascii="宋体" w:hAnsi="宋体" w:cs="Arial"/>
                <w:b/>
                <w:szCs w:val="21"/>
              </w:rPr>
            </w:pPr>
            <w:r>
              <w:rPr>
                <w:rFonts w:ascii="宋体" w:hAnsi="宋体" w:cs="Arial"/>
                <w:b/>
                <w:szCs w:val="21"/>
              </w:rPr>
              <w:t>邮政编码</w:t>
            </w:r>
          </w:p>
        </w:tc>
        <w:tc>
          <w:tcPr>
            <w:tcW w:w="3701" w:type="dxa"/>
            <w:vAlign w:val="center"/>
          </w:tcPr>
          <w:p>
            <w:pPr>
              <w:tabs>
                <w:tab w:val="left" w:pos="0"/>
                <w:tab w:val="left" w:pos="720"/>
              </w:tabs>
              <w:snapToGrid w:val="0"/>
              <w:ind w:left="71" w:leftChars="34"/>
              <w:jc w:val="center"/>
              <w:rPr>
                <w:rFonts w:ascii="宋体" w:hAnsi="宋体" w:cs="Arial"/>
                <w:b/>
                <w:szCs w:val="21"/>
              </w:rPr>
            </w:pPr>
            <w:r>
              <w:rPr>
                <w:rFonts w:ascii="宋体" w:hAnsi="宋体" w:cs="Arial"/>
                <w:b/>
                <w:szCs w:val="21"/>
              </w:rPr>
              <w:t>100044</w:t>
            </w:r>
          </w:p>
        </w:tc>
        <w:tc>
          <w:tcPr>
            <w:tcW w:w="3674" w:type="dxa"/>
            <w:vAlign w:val="center"/>
          </w:tcPr>
          <w:p>
            <w:pPr>
              <w:tabs>
                <w:tab w:val="left" w:pos="0"/>
                <w:tab w:val="left" w:pos="720"/>
              </w:tabs>
              <w:snapToGrid w:val="0"/>
              <w:ind w:left="71" w:leftChars="34"/>
              <w:jc w:val="center"/>
              <w:rPr>
                <w:rFonts w:ascii="宋体" w:hAnsi="宋体" w:cs="Arial"/>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vAlign w:val="center"/>
          </w:tcPr>
          <w:p>
            <w:pPr>
              <w:tabs>
                <w:tab w:val="left" w:pos="0"/>
                <w:tab w:val="left" w:pos="720"/>
              </w:tabs>
              <w:snapToGrid w:val="0"/>
              <w:ind w:left="71" w:leftChars="34"/>
              <w:jc w:val="center"/>
              <w:rPr>
                <w:rFonts w:ascii="宋体" w:hAnsi="宋体" w:cs="Arial"/>
                <w:b/>
                <w:szCs w:val="21"/>
              </w:rPr>
            </w:pPr>
            <w:r>
              <w:rPr>
                <w:rFonts w:ascii="宋体" w:hAnsi="宋体" w:cs="Arial"/>
                <w:b/>
                <w:szCs w:val="21"/>
              </w:rPr>
              <w:t>电话</w:t>
            </w:r>
            <w:r>
              <w:rPr>
                <w:rFonts w:hint="eastAsia" w:ascii="宋体" w:hAnsi="宋体" w:cs="Arial"/>
                <w:b/>
                <w:szCs w:val="21"/>
              </w:rPr>
              <w:t xml:space="preserve"> </w:t>
            </w:r>
          </w:p>
        </w:tc>
        <w:tc>
          <w:tcPr>
            <w:tcW w:w="3701" w:type="dxa"/>
            <w:shd w:val="clear" w:color="auto" w:fill="auto"/>
            <w:vAlign w:val="center"/>
          </w:tcPr>
          <w:p>
            <w:pPr>
              <w:tabs>
                <w:tab w:val="left" w:pos="0"/>
                <w:tab w:val="left" w:pos="720"/>
              </w:tabs>
              <w:snapToGrid w:val="0"/>
              <w:ind w:left="71" w:leftChars="34"/>
              <w:jc w:val="center"/>
              <w:rPr>
                <w:rFonts w:ascii="宋体" w:hAnsi="宋体" w:cs="Arial"/>
                <w:b/>
                <w:szCs w:val="21"/>
              </w:rPr>
            </w:pPr>
            <w:r>
              <w:rPr>
                <w:rFonts w:ascii="宋体" w:hAnsi="宋体" w:cs="Arial"/>
                <w:b/>
                <w:szCs w:val="21"/>
              </w:rPr>
              <w:t xml:space="preserve">(010) </w:t>
            </w:r>
            <w:r>
              <w:rPr>
                <w:rFonts w:hint="eastAsia" w:ascii="宋体" w:hAnsi="宋体" w:cs="Arial"/>
                <w:b/>
                <w:szCs w:val="21"/>
              </w:rPr>
              <w:t>88326666</w:t>
            </w:r>
          </w:p>
        </w:tc>
        <w:tc>
          <w:tcPr>
            <w:tcW w:w="3674" w:type="dxa"/>
            <w:shd w:val="clear" w:color="auto" w:fill="auto"/>
            <w:vAlign w:val="center"/>
          </w:tcPr>
          <w:p>
            <w:pPr>
              <w:tabs>
                <w:tab w:val="left" w:pos="0"/>
                <w:tab w:val="left" w:pos="720"/>
              </w:tabs>
              <w:snapToGrid w:val="0"/>
              <w:ind w:left="71" w:leftChars="34"/>
              <w:jc w:val="center"/>
              <w:rPr>
                <w:rFonts w:ascii="宋体" w:hAnsi="宋体" w:cs="Arial"/>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vAlign w:val="center"/>
          </w:tcPr>
          <w:p>
            <w:pPr>
              <w:tabs>
                <w:tab w:val="left" w:pos="0"/>
                <w:tab w:val="left" w:pos="720"/>
              </w:tabs>
              <w:snapToGrid w:val="0"/>
              <w:ind w:left="71" w:leftChars="34"/>
              <w:jc w:val="center"/>
              <w:rPr>
                <w:rFonts w:ascii="宋体" w:hAnsi="宋体" w:cs="Arial"/>
                <w:b/>
                <w:szCs w:val="21"/>
              </w:rPr>
            </w:pPr>
            <w:r>
              <w:rPr>
                <w:rFonts w:ascii="宋体" w:hAnsi="宋体" w:cs="Arial"/>
                <w:b/>
                <w:szCs w:val="21"/>
              </w:rPr>
              <w:t>传真</w:t>
            </w:r>
          </w:p>
        </w:tc>
        <w:tc>
          <w:tcPr>
            <w:tcW w:w="3701" w:type="dxa"/>
            <w:tcBorders>
              <w:bottom w:val="single" w:color="auto" w:sz="4" w:space="0"/>
            </w:tcBorders>
            <w:shd w:val="clear" w:color="auto" w:fill="auto"/>
            <w:vAlign w:val="center"/>
          </w:tcPr>
          <w:p>
            <w:pPr>
              <w:tabs>
                <w:tab w:val="left" w:pos="0"/>
                <w:tab w:val="left" w:pos="720"/>
              </w:tabs>
              <w:snapToGrid w:val="0"/>
              <w:ind w:left="71" w:leftChars="34"/>
              <w:jc w:val="center"/>
              <w:rPr>
                <w:rFonts w:ascii="宋体" w:hAnsi="宋体" w:cs="Arial"/>
                <w:b/>
                <w:szCs w:val="21"/>
              </w:rPr>
            </w:pPr>
            <w:r>
              <w:rPr>
                <w:rFonts w:ascii="宋体" w:hAnsi="宋体" w:cs="Arial"/>
                <w:b/>
                <w:szCs w:val="21"/>
              </w:rPr>
              <w:t>(010) 68318386</w:t>
            </w:r>
          </w:p>
        </w:tc>
        <w:tc>
          <w:tcPr>
            <w:tcW w:w="3674" w:type="dxa"/>
            <w:shd w:val="clear" w:color="auto" w:fill="auto"/>
            <w:vAlign w:val="center"/>
          </w:tcPr>
          <w:p>
            <w:pPr>
              <w:tabs>
                <w:tab w:val="left" w:pos="0"/>
                <w:tab w:val="left" w:pos="720"/>
              </w:tabs>
              <w:snapToGrid w:val="0"/>
              <w:ind w:left="71" w:leftChars="34"/>
              <w:jc w:val="center"/>
              <w:rPr>
                <w:rFonts w:ascii="宋体" w:hAnsi="宋体" w:cs="Arial"/>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vAlign w:val="center"/>
          </w:tcPr>
          <w:p>
            <w:pPr>
              <w:tabs>
                <w:tab w:val="left" w:pos="0"/>
                <w:tab w:val="left" w:pos="720"/>
              </w:tabs>
              <w:snapToGrid w:val="0"/>
              <w:ind w:left="71" w:leftChars="34"/>
              <w:jc w:val="center"/>
              <w:rPr>
                <w:rFonts w:ascii="宋体" w:hAnsi="宋体" w:cs="Arial"/>
                <w:b/>
                <w:szCs w:val="21"/>
              </w:rPr>
            </w:pPr>
            <w:r>
              <w:rPr>
                <w:rFonts w:ascii="宋体" w:hAnsi="宋体" w:cs="Arial"/>
                <w:b/>
                <w:szCs w:val="21"/>
              </w:rPr>
              <w:t>开户银行</w:t>
            </w:r>
          </w:p>
        </w:tc>
        <w:tc>
          <w:tcPr>
            <w:tcW w:w="3701" w:type="dxa"/>
            <w:tcBorders>
              <w:tr2bl w:val="single" w:color="auto" w:sz="4" w:space="0"/>
            </w:tcBorders>
            <w:vAlign w:val="center"/>
          </w:tcPr>
          <w:p>
            <w:pPr>
              <w:tabs>
                <w:tab w:val="left" w:pos="0"/>
                <w:tab w:val="left" w:pos="720"/>
              </w:tabs>
              <w:snapToGrid w:val="0"/>
              <w:ind w:left="71" w:leftChars="34"/>
              <w:jc w:val="center"/>
              <w:rPr>
                <w:rFonts w:ascii="宋体" w:hAnsi="宋体" w:cs="Arial"/>
                <w:b/>
                <w:szCs w:val="21"/>
              </w:rPr>
            </w:pPr>
          </w:p>
        </w:tc>
        <w:tc>
          <w:tcPr>
            <w:tcW w:w="3674" w:type="dxa"/>
            <w:vAlign w:val="center"/>
          </w:tcPr>
          <w:p>
            <w:pPr>
              <w:tabs>
                <w:tab w:val="left" w:pos="0"/>
                <w:tab w:val="left" w:pos="720"/>
              </w:tabs>
              <w:snapToGrid w:val="0"/>
              <w:ind w:left="71" w:leftChars="34"/>
              <w:jc w:val="center"/>
              <w:rPr>
                <w:rFonts w:ascii="宋体" w:hAnsi="宋体" w:cs="Arial"/>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vAlign w:val="center"/>
          </w:tcPr>
          <w:p>
            <w:pPr>
              <w:tabs>
                <w:tab w:val="left" w:pos="0"/>
                <w:tab w:val="left" w:pos="720"/>
              </w:tabs>
              <w:snapToGrid w:val="0"/>
              <w:ind w:left="71" w:leftChars="34"/>
              <w:jc w:val="center"/>
              <w:rPr>
                <w:rFonts w:ascii="宋体" w:hAnsi="宋体" w:cs="Arial"/>
                <w:b/>
                <w:szCs w:val="21"/>
              </w:rPr>
            </w:pPr>
            <w:r>
              <w:rPr>
                <w:rFonts w:ascii="宋体" w:hAnsi="宋体" w:cs="Arial"/>
                <w:b/>
                <w:szCs w:val="21"/>
              </w:rPr>
              <w:t>账号</w:t>
            </w:r>
          </w:p>
        </w:tc>
        <w:tc>
          <w:tcPr>
            <w:tcW w:w="3701" w:type="dxa"/>
            <w:tcBorders>
              <w:tr2bl w:val="single" w:color="auto" w:sz="4" w:space="0"/>
            </w:tcBorders>
            <w:vAlign w:val="center"/>
          </w:tcPr>
          <w:p>
            <w:pPr>
              <w:tabs>
                <w:tab w:val="left" w:pos="0"/>
                <w:tab w:val="left" w:pos="720"/>
              </w:tabs>
              <w:snapToGrid w:val="0"/>
              <w:ind w:left="71" w:leftChars="34"/>
              <w:jc w:val="center"/>
              <w:rPr>
                <w:rFonts w:ascii="宋体" w:hAnsi="宋体" w:cs="Arial"/>
                <w:b/>
                <w:szCs w:val="21"/>
              </w:rPr>
            </w:pPr>
          </w:p>
        </w:tc>
        <w:tc>
          <w:tcPr>
            <w:tcW w:w="3674" w:type="dxa"/>
            <w:vAlign w:val="center"/>
          </w:tcPr>
          <w:p>
            <w:pPr>
              <w:tabs>
                <w:tab w:val="left" w:pos="0"/>
                <w:tab w:val="left" w:pos="720"/>
              </w:tabs>
              <w:snapToGrid w:val="0"/>
              <w:ind w:left="71" w:leftChars="34"/>
              <w:jc w:val="center"/>
              <w:rPr>
                <w:rFonts w:ascii="宋体" w:hAnsi="宋体" w:cs="Arial"/>
                <w:b/>
                <w:szCs w:val="21"/>
              </w:rPr>
            </w:pPr>
          </w:p>
        </w:tc>
      </w:tr>
    </w:tbl>
    <w:p>
      <w:pPr>
        <w:ind w:right="-109" w:rightChars="-52"/>
        <w:rPr>
          <w:rFonts w:ascii="宋体" w:hAnsi="宋体"/>
          <w:b/>
          <w:szCs w:val="21"/>
        </w:rPr>
      </w:pPr>
    </w:p>
    <w:p>
      <w:pPr>
        <w:pStyle w:val="19"/>
        <w:widowControl w:val="0"/>
        <w:spacing w:line="360" w:lineRule="auto"/>
        <w:rPr>
          <w:rFonts w:hAnsi="宋体"/>
          <w:b w:val="0"/>
          <w:sz w:val="44"/>
          <w:szCs w:val="44"/>
        </w:rPr>
      </w:pPr>
      <w:r>
        <w:rPr>
          <w:rFonts w:hint="eastAsia" w:hAnsi="宋体"/>
          <w:b w:val="0"/>
          <w:sz w:val="44"/>
          <w:szCs w:val="44"/>
        </w:rPr>
        <w:t>附页：配置单</w:t>
      </w:r>
    </w:p>
    <w:p>
      <w:pPr>
        <w:pStyle w:val="19"/>
        <w:widowControl w:val="0"/>
        <w:spacing w:line="360" w:lineRule="auto"/>
        <w:rPr>
          <w:rFonts w:hAnsi="宋体"/>
          <w:b w:val="0"/>
          <w:sz w:val="44"/>
          <w:szCs w:val="44"/>
        </w:rPr>
      </w:pPr>
    </w:p>
    <w:p>
      <w:pPr>
        <w:pStyle w:val="19"/>
        <w:widowControl w:val="0"/>
        <w:spacing w:line="360" w:lineRule="auto"/>
        <w:rPr>
          <w:rFonts w:ascii="Times New Roman"/>
          <w:bCs/>
          <w:color w:val="000000"/>
          <w:kern w:val="2"/>
          <w:sz w:val="44"/>
          <w:szCs w:val="44"/>
        </w:rPr>
      </w:pPr>
      <w:r>
        <w:rPr>
          <w:rFonts w:hint="eastAsia"/>
          <w:kern w:val="2"/>
        </w:rPr>
        <w:t>项目廉政责任书</w:t>
      </w:r>
    </w:p>
    <w:p>
      <w:pPr>
        <w:spacing w:line="360" w:lineRule="auto"/>
        <w:ind w:left="-178" w:leftChars="-85" w:firstLine="480"/>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360" w:lineRule="auto"/>
        <w:ind w:left="-178" w:leftChars="-85" w:firstLine="480"/>
        <w:rPr>
          <w:rFonts w:ascii="宋体" w:hAnsi="宋体"/>
          <w:sz w:val="24"/>
          <w:u w:val="single"/>
        </w:rPr>
      </w:pPr>
      <w:r>
        <w:rPr>
          <w:rFonts w:hint="eastAsia" w:ascii="宋体" w:hAnsi="宋体"/>
          <w:sz w:val="24"/>
        </w:rPr>
        <w:t>项目地址：</w:t>
      </w:r>
      <w:r>
        <w:rPr>
          <w:rFonts w:hint="eastAsia" w:ascii="宋体" w:hAnsi="宋体"/>
          <w:sz w:val="24"/>
          <w:u w:val="single"/>
        </w:rPr>
        <w:t>北京</w:t>
      </w:r>
      <w:r>
        <w:rPr>
          <w:rFonts w:ascii="宋体" w:hAnsi="宋体"/>
          <w:sz w:val="24"/>
          <w:u w:val="single"/>
        </w:rPr>
        <w:t>大学人民医院</w:t>
      </w:r>
      <w:r>
        <w:rPr>
          <w:rFonts w:hint="eastAsia" w:ascii="宋体" w:hAnsi="宋体"/>
          <w:sz w:val="24"/>
          <w:u w:val="single"/>
        </w:rPr>
        <w:t xml:space="preserve">       </w:t>
      </w:r>
    </w:p>
    <w:p>
      <w:pPr>
        <w:spacing w:line="360" w:lineRule="auto"/>
        <w:ind w:left="-178" w:leftChars="-85" w:firstLine="480"/>
        <w:rPr>
          <w:rFonts w:ascii="宋体" w:hAnsi="宋体"/>
          <w:sz w:val="24"/>
          <w:u w:val="single"/>
        </w:rPr>
      </w:pPr>
      <w:r>
        <w:rPr>
          <w:rFonts w:hint="eastAsia" w:ascii="宋体" w:hAnsi="宋体"/>
          <w:sz w:val="24"/>
        </w:rPr>
        <w:t>甲    方：</w:t>
      </w:r>
      <w:r>
        <w:rPr>
          <w:rFonts w:hint="eastAsia" w:ascii="宋体" w:hAnsi="宋体"/>
          <w:sz w:val="24"/>
          <w:u w:val="single"/>
        </w:rPr>
        <w:t xml:space="preserve">北京大学人民医院          </w:t>
      </w:r>
    </w:p>
    <w:p>
      <w:pPr>
        <w:spacing w:line="360" w:lineRule="auto"/>
        <w:ind w:left="-178" w:leftChars="-85" w:firstLine="480"/>
        <w:rPr>
          <w:rFonts w:ascii="宋体" w:hAnsi="宋体"/>
          <w:sz w:val="24"/>
          <w:u w:val="single"/>
        </w:rPr>
      </w:pPr>
      <w:r>
        <w:rPr>
          <w:rFonts w:hint="eastAsia" w:ascii="宋体" w:hAnsi="宋体"/>
          <w:sz w:val="24"/>
        </w:rPr>
        <w:t>乙    方：</w:t>
      </w:r>
      <w:r>
        <w:rPr>
          <w:rFonts w:hint="eastAsia" w:ascii="宋体" w:hAnsi="宋体"/>
          <w:sz w:val="24"/>
          <w:u w:val="single"/>
        </w:rPr>
        <w:t xml:space="preserve">                          </w:t>
      </w:r>
    </w:p>
    <w:p>
      <w:pPr>
        <w:spacing w:line="360" w:lineRule="auto"/>
        <w:ind w:left="-178" w:leftChars="-85" w:firstLine="480"/>
        <w:rPr>
          <w:rFonts w:ascii="宋体" w:hAnsi="宋体"/>
          <w:sz w:val="24"/>
        </w:rPr>
      </w:pPr>
      <w:r>
        <w:rPr>
          <w:rFonts w:hint="eastAsia" w:ascii="黑体" w:hAnsi="宋体" w:eastAsia="黑体"/>
          <w:sz w:val="24"/>
        </w:rPr>
        <w:t>　第一条　</w:t>
      </w:r>
      <w:r>
        <w:rPr>
          <w:rFonts w:hint="eastAsia" w:ascii="宋体" w:hAnsi="宋体"/>
          <w:sz w:val="24"/>
        </w:rPr>
        <w:t>甲乙双方的责任</w:t>
      </w:r>
    </w:p>
    <w:p>
      <w:pPr>
        <w:spacing w:line="360" w:lineRule="auto"/>
        <w:rPr>
          <w:rFonts w:ascii="宋体" w:hAnsi="宋体"/>
          <w:sz w:val="24"/>
        </w:rPr>
      </w:pPr>
      <w:r>
        <w:rPr>
          <w:rFonts w:hint="eastAsia" w:ascii="宋体" w:hAnsi="宋体"/>
          <w:sz w:val="24"/>
        </w:rPr>
        <w:t>　　(一)　应严格遵守国家关于市场准入、项目招标投标和市场活动等有关法律、法规，相关政策，以及廉政建设的各项规定。</w:t>
      </w:r>
    </w:p>
    <w:p>
      <w:pPr>
        <w:spacing w:line="360" w:lineRule="auto"/>
        <w:rPr>
          <w:rFonts w:ascii="宋体" w:hAnsi="宋体"/>
          <w:sz w:val="24"/>
        </w:rPr>
      </w:pPr>
      <w:r>
        <w:rPr>
          <w:rFonts w:hint="eastAsia" w:ascii="宋体" w:hAnsi="宋体"/>
          <w:sz w:val="24"/>
        </w:rPr>
        <w:t>　　(二)　严格执行项目合同文件，自觉按合同办事。</w:t>
      </w:r>
    </w:p>
    <w:p>
      <w:pPr>
        <w:spacing w:line="360" w:lineRule="auto"/>
        <w:ind w:firstLine="480"/>
        <w:rPr>
          <w:rFonts w:ascii="宋体" w:hAnsi="宋体"/>
          <w:sz w:val="24"/>
        </w:rPr>
      </w:pPr>
      <w:r>
        <w:rPr>
          <w:rFonts w:hint="eastAsia" w:ascii="宋体" w:hAnsi="宋体"/>
          <w:sz w:val="24"/>
        </w:rPr>
        <w:t>(三)　业务活动必须坚持公开、公平、公正、诚信、透明的原则（除法律法规另有规定者外），不得为获取不正当的利益，损害国家、集体和对方利益。</w:t>
      </w:r>
    </w:p>
    <w:p>
      <w:pPr>
        <w:spacing w:line="360" w:lineRule="auto"/>
        <w:ind w:firstLine="480"/>
        <w:rPr>
          <w:rFonts w:ascii="宋体" w:hAnsi="宋体"/>
          <w:sz w:val="24"/>
        </w:rPr>
      </w:pPr>
      <w:r>
        <w:rPr>
          <w:rFonts w:hint="eastAsia" w:ascii="宋体" w:hAnsi="宋体"/>
          <w:sz w:val="24"/>
        </w:rPr>
        <w:t>(四)　发现对方在业务活动中有违规、违纪、违法行为的，应及时提醒对方，情节严重的，应向其上级主管部门或纪检监察、司法等有关机关举报。</w:t>
      </w:r>
    </w:p>
    <w:p>
      <w:pPr>
        <w:spacing w:line="360" w:lineRule="auto"/>
        <w:ind w:firstLine="420"/>
        <w:rPr>
          <w:rFonts w:ascii="宋体" w:hAnsi="宋体"/>
          <w:sz w:val="24"/>
        </w:rPr>
      </w:pPr>
      <w:r>
        <w:rPr>
          <w:rFonts w:hint="eastAsia" w:ascii="黑体" w:hAnsi="宋体" w:eastAsia="黑体"/>
          <w:sz w:val="24"/>
        </w:rPr>
        <w:t>第二条　</w:t>
      </w:r>
      <w:r>
        <w:rPr>
          <w:rFonts w:hint="eastAsia" w:ascii="宋体" w:hAnsi="宋体"/>
          <w:sz w:val="24"/>
        </w:rPr>
        <w:t>甲方的责任</w:t>
      </w:r>
    </w:p>
    <w:p>
      <w:pPr>
        <w:spacing w:line="360" w:lineRule="auto"/>
        <w:ind w:firstLine="420"/>
        <w:rPr>
          <w:rFonts w:ascii="宋体" w:hAnsi="宋体"/>
          <w:sz w:val="24"/>
        </w:rPr>
      </w:pPr>
      <w:r>
        <w:rPr>
          <w:rFonts w:hint="eastAsia" w:ascii="宋体" w:hAnsi="宋体"/>
          <w:sz w:val="24"/>
        </w:rPr>
        <w:t>甲方的领导和负责该项目招标的工作人员，在项目开展的事前、事中、事后应遵守以下规定：</w:t>
      </w:r>
    </w:p>
    <w:p>
      <w:pPr>
        <w:spacing w:line="360" w:lineRule="auto"/>
        <w:rPr>
          <w:rFonts w:ascii="宋体" w:hAnsi="宋体"/>
          <w:sz w:val="24"/>
        </w:rPr>
      </w:pPr>
      <w:r>
        <w:rPr>
          <w:rFonts w:hint="eastAsia" w:ascii="宋体" w:hAnsi="宋体"/>
          <w:sz w:val="24"/>
        </w:rPr>
        <w:t>　　(一)　不准向乙方和相关单位索要或接受回扣、礼金、有价证券、贵重物品和好处费、感谢费等。</w:t>
      </w:r>
    </w:p>
    <w:p>
      <w:pPr>
        <w:spacing w:line="360" w:lineRule="auto"/>
        <w:ind w:firstLine="420"/>
        <w:rPr>
          <w:rFonts w:ascii="宋体" w:hAnsi="宋体"/>
          <w:sz w:val="24"/>
        </w:rPr>
      </w:pPr>
      <w:r>
        <w:rPr>
          <w:rFonts w:hint="eastAsia" w:ascii="宋体" w:hAnsi="宋体"/>
          <w:sz w:val="24"/>
        </w:rPr>
        <w:t>(二)　不准在乙方和相关单位报销任何应由甲方或个人支付的费用。</w:t>
      </w:r>
    </w:p>
    <w:p>
      <w:pPr>
        <w:spacing w:line="360" w:lineRule="auto"/>
        <w:ind w:firstLine="410"/>
        <w:rPr>
          <w:rFonts w:ascii="宋体" w:hAnsi="宋体"/>
          <w:sz w:val="24"/>
        </w:rPr>
      </w:pPr>
      <w:r>
        <w:rPr>
          <w:rFonts w:hint="eastAsia" w:ascii="宋体" w:hAnsi="宋体"/>
          <w:sz w:val="24"/>
        </w:rPr>
        <w:t>(三)　不准要求、暗示或接受乙方和相关单位为个人装修住房、婚丧嫁娶、配偶子女的工作安排以及出国（境）、旅游等提供方便。</w:t>
      </w:r>
    </w:p>
    <w:p>
      <w:pPr>
        <w:spacing w:line="360" w:lineRule="auto"/>
        <w:rPr>
          <w:rFonts w:ascii="宋体" w:hAnsi="宋体"/>
          <w:sz w:val="24"/>
        </w:rPr>
      </w:pPr>
      <w:r>
        <w:rPr>
          <w:rFonts w:hint="eastAsia" w:ascii="宋体" w:hAnsi="宋体"/>
          <w:sz w:val="24"/>
        </w:rPr>
        <w:t>　　(四)　不准参加有可能影响公正执行公务的乙方和相关单位的宴请和健身、娱乐等活动。</w:t>
      </w:r>
    </w:p>
    <w:p>
      <w:pPr>
        <w:spacing w:line="360" w:lineRule="auto"/>
        <w:ind w:firstLine="480"/>
        <w:rPr>
          <w:rFonts w:ascii="宋体" w:hAnsi="宋体"/>
          <w:sz w:val="24"/>
        </w:rPr>
      </w:pPr>
      <w:r>
        <w:rPr>
          <w:rFonts w:hint="eastAsia" w:ascii="宋体" w:hAnsi="宋体"/>
          <w:sz w:val="24"/>
        </w:rPr>
        <w:t>(五)　不准向乙方介绍或为配偶、子女、亲属参与同甲方项目合同中相关经济活动。不得以任何理由向乙方和相关单位推荐分包单位和要求乙方购买项目工程施工合同规定以外的材料、设备等。</w:t>
      </w:r>
    </w:p>
    <w:p>
      <w:pPr>
        <w:spacing w:line="360" w:lineRule="auto"/>
        <w:ind w:firstLine="480"/>
        <w:rPr>
          <w:rFonts w:ascii="宋体" w:hAnsi="宋体"/>
          <w:sz w:val="24"/>
        </w:rPr>
      </w:pPr>
      <w:r>
        <w:rPr>
          <w:rFonts w:hint="eastAsia" w:ascii="黑体" w:hAnsi="宋体" w:eastAsia="黑体"/>
          <w:sz w:val="24"/>
        </w:rPr>
        <w:t>第三条　</w:t>
      </w:r>
      <w:r>
        <w:rPr>
          <w:rFonts w:hint="eastAsia" w:ascii="宋体" w:hAnsi="宋体"/>
          <w:sz w:val="24"/>
        </w:rPr>
        <w:t>乙方的责任</w:t>
      </w:r>
    </w:p>
    <w:p>
      <w:pPr>
        <w:spacing w:line="360" w:lineRule="auto"/>
        <w:rPr>
          <w:rFonts w:ascii="宋体" w:hAnsi="宋体"/>
          <w:sz w:val="24"/>
        </w:rPr>
      </w:pPr>
      <w:r>
        <w:rPr>
          <w:rFonts w:hint="eastAsia" w:ascii="宋体" w:hAnsi="宋体"/>
          <w:sz w:val="24"/>
        </w:rPr>
        <w:t>　　应与甲方保持正常的业务交往，按照有关法律法规和程序开展业务工作，严格遵守以下规定：</w:t>
      </w:r>
    </w:p>
    <w:p>
      <w:pPr>
        <w:spacing w:line="360" w:lineRule="auto"/>
        <w:rPr>
          <w:rFonts w:ascii="宋体" w:hAnsi="宋体"/>
          <w:sz w:val="24"/>
        </w:rPr>
      </w:pPr>
      <w:r>
        <w:rPr>
          <w:rFonts w:hint="eastAsia" w:ascii="宋体" w:hAnsi="宋体"/>
          <w:sz w:val="24"/>
        </w:rPr>
        <w:t>　　(一)　不准以任何理由向甲方、相关单位及其工作人员索要、接受或赠送礼金、有价证券、贵重物品和回扣、好处费、感谢费等。</w:t>
      </w:r>
    </w:p>
    <w:p>
      <w:pPr>
        <w:spacing w:line="360" w:lineRule="auto"/>
        <w:rPr>
          <w:rFonts w:ascii="宋体" w:hAnsi="宋体"/>
          <w:sz w:val="24"/>
        </w:rPr>
      </w:pPr>
      <w:r>
        <w:rPr>
          <w:rFonts w:hint="eastAsia" w:ascii="宋体" w:hAnsi="宋体"/>
          <w:sz w:val="24"/>
        </w:rPr>
        <w:t>　　(二)　不准以任何理由为甲方和相关单位报销应由对方或个人支付的费用。</w:t>
      </w:r>
    </w:p>
    <w:p>
      <w:pPr>
        <w:spacing w:line="360" w:lineRule="auto"/>
        <w:rPr>
          <w:rFonts w:ascii="宋体" w:hAnsi="宋体"/>
          <w:sz w:val="24"/>
        </w:rPr>
      </w:pPr>
      <w:r>
        <w:rPr>
          <w:rFonts w:hint="eastAsia" w:ascii="宋体" w:hAnsi="宋体"/>
          <w:sz w:val="24"/>
        </w:rPr>
        <w:t>　　(三)　不准接受或暗示为甲方、相关单位或个人装修住房、婚丧嫁娶、配偶子女的工作安排以及出国（境）、旅游等提供方便。</w:t>
      </w:r>
    </w:p>
    <w:p>
      <w:pPr>
        <w:spacing w:line="360" w:lineRule="auto"/>
        <w:ind w:firstLine="480"/>
        <w:rPr>
          <w:rFonts w:ascii="宋体" w:hAnsi="宋体"/>
          <w:sz w:val="24"/>
        </w:rPr>
      </w:pPr>
      <w:r>
        <w:rPr>
          <w:rFonts w:hint="eastAsia" w:ascii="宋体" w:hAnsi="宋体"/>
          <w:sz w:val="24"/>
        </w:rPr>
        <w:t>(四)　不准以任何理由为甲方、相关单位或个人组织有可能影响公正执行公务的宴请、健身、娱乐等活动。</w:t>
      </w:r>
    </w:p>
    <w:p>
      <w:pPr>
        <w:spacing w:line="360" w:lineRule="auto"/>
        <w:ind w:firstLine="480"/>
        <w:rPr>
          <w:rFonts w:ascii="宋体" w:hAnsi="宋体"/>
          <w:sz w:val="24"/>
        </w:rPr>
      </w:pPr>
      <w:r>
        <w:rPr>
          <w:rFonts w:hint="eastAsia" w:ascii="宋体" w:hAnsi="宋体"/>
          <w:sz w:val="24"/>
        </w:rPr>
        <w:t>(五)　</w:t>
      </w:r>
      <w:r>
        <w:rPr>
          <w:rFonts w:ascii="宋体" w:hAnsi="宋体"/>
          <w:sz w:val="24"/>
        </w:rPr>
        <w:t>不得实施商业贿赂行为，实施商业贿赂行为后将被列入商业贿赂不良记录</w:t>
      </w:r>
      <w:r>
        <w:rPr>
          <w:rFonts w:hint="eastAsia" w:ascii="宋体" w:hAnsi="宋体"/>
          <w:sz w:val="24"/>
        </w:rPr>
        <w:t>。乙方指定企业销售</w:t>
      </w:r>
      <w:r>
        <w:rPr>
          <w:rFonts w:ascii="宋体" w:hAnsi="宋体"/>
          <w:sz w:val="24"/>
        </w:rPr>
        <w:t>代表</w:t>
      </w:r>
      <w:r>
        <w:rPr>
          <w:rFonts w:hint="eastAsia" w:ascii="宋体" w:hAnsi="宋体"/>
          <w:sz w:val="24"/>
        </w:rPr>
        <w:t>为</w:t>
      </w:r>
      <w:r>
        <w:rPr>
          <w:rFonts w:hint="eastAsia" w:ascii="宋体" w:hAnsi="宋体"/>
          <w:sz w:val="24"/>
          <w:u w:val="single"/>
        </w:rPr>
        <w:t xml:space="preserve">           </w:t>
      </w:r>
      <w:r>
        <w:rPr>
          <w:rFonts w:hint="eastAsia" w:ascii="宋体" w:hAnsi="宋体"/>
          <w:sz w:val="24"/>
        </w:rPr>
        <w:t>。</w:t>
      </w:r>
    </w:p>
    <w:p>
      <w:pPr>
        <w:spacing w:line="360" w:lineRule="auto"/>
        <w:ind w:firstLine="480"/>
        <w:rPr>
          <w:rFonts w:ascii="黑体" w:hAnsi="宋体" w:eastAsia="黑体"/>
          <w:sz w:val="24"/>
        </w:rPr>
      </w:pPr>
      <w:r>
        <w:rPr>
          <w:rFonts w:hint="eastAsia" w:ascii="黑体" w:hAnsi="宋体" w:eastAsia="黑体"/>
          <w:sz w:val="24"/>
        </w:rPr>
        <w:t>第四条　</w:t>
      </w:r>
      <w:r>
        <w:rPr>
          <w:rFonts w:hint="eastAsia" w:ascii="宋体" w:hAnsi="宋体"/>
          <w:sz w:val="24"/>
        </w:rPr>
        <w:t>违约责任</w:t>
      </w:r>
    </w:p>
    <w:p>
      <w:pPr>
        <w:spacing w:line="360" w:lineRule="auto"/>
        <w:rPr>
          <w:rFonts w:ascii="宋体" w:hAnsi="宋体"/>
          <w:sz w:val="24"/>
        </w:rPr>
      </w:pPr>
      <w:r>
        <w:rPr>
          <w:rFonts w:hint="eastAsia" w:ascii="宋体" w:hAnsi="宋体"/>
          <w:sz w:val="24"/>
        </w:rPr>
        <w:t>　　(一)　甲方工作人员有违反本责任书第一、二条责任行为的，按照管理权限，依据有关法律法规和规定给予党纪、政纪处分或组织处理；涉嫌犯罪，移交司法机关追究刑事责任；给乙方单位造成经济损失的，应予以赔偿。</w:t>
      </w:r>
    </w:p>
    <w:p>
      <w:pPr>
        <w:spacing w:line="360" w:lineRule="auto"/>
        <w:ind w:firstLine="480"/>
        <w:rPr>
          <w:rFonts w:ascii="宋体" w:hAnsi="宋体"/>
          <w:sz w:val="24"/>
        </w:rPr>
      </w:pPr>
      <w:r>
        <w:rPr>
          <w:rFonts w:hint="eastAsia" w:ascii="宋体" w:hAnsi="宋体"/>
          <w:sz w:val="24"/>
        </w:rPr>
        <w:t>(二)　乙方工作人员有违反本责任书第一、三条责任行为的，按照管理权限，依据有关法律法规和规定给予党纪、政纪处分或组织处理；涉嫌犯罪的，移交司法机关追究刑事责任；给甲方单位造成经济损失的，应予以赔偿。</w:t>
      </w:r>
    </w:p>
    <w:p>
      <w:pPr>
        <w:spacing w:line="360" w:lineRule="auto"/>
        <w:ind w:firstLine="480"/>
        <w:rPr>
          <w:rFonts w:ascii="宋体" w:hAnsi="宋体"/>
          <w:sz w:val="24"/>
        </w:rPr>
      </w:pPr>
      <w:r>
        <w:rPr>
          <w:rFonts w:hint="eastAsia" w:ascii="黑体" w:hAnsi="宋体" w:eastAsia="黑体"/>
          <w:sz w:val="24"/>
        </w:rPr>
        <w:t>第五条　</w:t>
      </w:r>
      <w:r>
        <w:rPr>
          <w:rFonts w:hint="eastAsia" w:ascii="宋体" w:hAnsi="宋体"/>
          <w:sz w:val="24"/>
        </w:rPr>
        <w:t>本责任书作为项目合同的附件，与项目合同具有同等法律效力。经双方签署后立即生效。</w:t>
      </w:r>
    </w:p>
    <w:p>
      <w:pPr>
        <w:spacing w:line="360" w:lineRule="auto"/>
        <w:ind w:firstLine="480"/>
        <w:rPr>
          <w:rFonts w:ascii="宋体" w:hAnsi="宋体"/>
          <w:sz w:val="24"/>
        </w:rPr>
      </w:pPr>
      <w:r>
        <w:rPr>
          <w:rFonts w:hint="eastAsia" w:ascii="黑体" w:hAnsi="宋体" w:eastAsia="黑体"/>
          <w:sz w:val="24"/>
        </w:rPr>
        <w:t>第六条　</w:t>
      </w:r>
      <w:r>
        <w:rPr>
          <w:rFonts w:hint="eastAsia" w:ascii="宋体" w:hAnsi="宋体"/>
          <w:sz w:val="24"/>
        </w:rPr>
        <w:t>本责任书的有效期为双方签署之日起至合同结束时止。</w:t>
      </w:r>
    </w:p>
    <w:p>
      <w:pPr>
        <w:adjustRightInd w:val="0"/>
        <w:snapToGrid w:val="0"/>
        <w:spacing w:line="360" w:lineRule="auto"/>
        <w:ind w:left="620"/>
        <w:rPr>
          <w:rFonts w:ascii="宋体" w:hAnsi="宋体"/>
          <w:sz w:val="24"/>
        </w:rPr>
      </w:pPr>
    </w:p>
    <w:p>
      <w:pPr>
        <w:adjustRightInd w:val="0"/>
        <w:snapToGrid w:val="0"/>
        <w:spacing w:line="360" w:lineRule="auto"/>
        <w:ind w:left="620"/>
        <w:rPr>
          <w:rFonts w:ascii="宋体" w:hAnsi="宋体"/>
          <w:sz w:val="24"/>
        </w:rPr>
      </w:pPr>
    </w:p>
    <w:p>
      <w:pPr>
        <w:adjustRightInd w:val="0"/>
        <w:snapToGrid w:val="0"/>
        <w:spacing w:line="360" w:lineRule="auto"/>
        <w:rPr>
          <w:rFonts w:ascii="宋体" w:hAnsi="宋体"/>
          <w:sz w:val="24"/>
        </w:rPr>
      </w:pPr>
      <w:r>
        <w:rPr>
          <w:rFonts w:hint="eastAsia" w:ascii="宋体" w:hAnsi="宋体"/>
          <w:sz w:val="24"/>
        </w:rPr>
        <w:t>甲方单位：（盖章）北京大学人民医院　　   乙方单位：（盖章）</w:t>
      </w:r>
    </w:p>
    <w:p>
      <w:pPr>
        <w:adjustRightInd w:val="0"/>
        <w:snapToGrid w:val="0"/>
        <w:spacing w:line="360" w:lineRule="auto"/>
        <w:rPr>
          <w:rFonts w:ascii="宋体" w:hAnsi="宋体"/>
          <w:sz w:val="24"/>
        </w:rPr>
      </w:pPr>
      <w:r>
        <w:rPr>
          <w:rFonts w:hint="eastAsia" w:ascii="宋体" w:hAnsi="宋体"/>
          <w:sz w:val="24"/>
        </w:rPr>
        <w:t xml:space="preserve">　　　 　　　                           </w:t>
      </w:r>
    </w:p>
    <w:p>
      <w:pPr>
        <w:adjustRightInd w:val="0"/>
        <w:snapToGrid w:val="0"/>
        <w:spacing w:line="360" w:lineRule="auto"/>
        <w:ind w:left="-2" w:leftChars="-1"/>
        <w:rPr>
          <w:rFonts w:ascii="宋体" w:hAnsi="宋体"/>
          <w:sz w:val="24"/>
        </w:rPr>
      </w:pPr>
      <w:r>
        <w:rPr>
          <w:rFonts w:hint="eastAsia" w:ascii="宋体" w:hAnsi="宋体"/>
          <w:sz w:val="24"/>
        </w:rPr>
        <w:t>法定代表人(或授权代表签字）： 　　       法定代表人(或授权代表签字）：</w:t>
      </w:r>
    </w:p>
    <w:p>
      <w:pPr>
        <w:adjustRightInd w:val="0"/>
        <w:snapToGrid w:val="0"/>
        <w:spacing w:line="360" w:lineRule="auto"/>
        <w:ind w:left="-2" w:leftChars="-1"/>
        <w:rPr>
          <w:rFonts w:ascii="宋体" w:hAnsi="宋体"/>
          <w:sz w:val="24"/>
        </w:rPr>
      </w:pPr>
    </w:p>
    <w:p>
      <w:pPr>
        <w:adjustRightInd w:val="0"/>
        <w:snapToGrid w:val="0"/>
        <w:spacing w:line="360" w:lineRule="auto"/>
        <w:ind w:left="-2" w:leftChars="-1"/>
        <w:rPr>
          <w:rFonts w:hAnsi="宋体"/>
          <w:sz w:val="24"/>
        </w:rPr>
      </w:pPr>
      <w:r>
        <w:rPr>
          <w:rFonts w:hint="eastAsia" w:ascii="宋体" w:hAnsi="宋体"/>
          <w:sz w:val="24"/>
        </w:rPr>
        <w:t>地址：北京市西城区西直门南大街11号　　 地址：</w:t>
      </w:r>
    </w:p>
    <w:p>
      <w:pPr>
        <w:spacing w:line="360" w:lineRule="auto"/>
        <w:ind w:firstLine="480" w:firstLineChars="200"/>
        <w:rPr>
          <w:sz w:val="24"/>
        </w:rPr>
      </w:pPr>
      <w:r>
        <w:rPr>
          <w:rFonts w:hint="eastAsia" w:hAnsi="宋体"/>
          <w:sz w:val="24"/>
        </w:rPr>
        <w:t xml:space="preserve">                                      </w:t>
      </w:r>
    </w:p>
    <w:p>
      <w:pPr>
        <w:adjustRightInd w:val="0"/>
        <w:snapToGrid w:val="0"/>
        <w:spacing w:line="360" w:lineRule="auto"/>
        <w:ind w:left="-2" w:leftChars="-1"/>
        <w:rPr>
          <w:rFonts w:ascii="宋体" w:hAnsi="宋体"/>
          <w:sz w:val="24"/>
        </w:rPr>
      </w:pPr>
      <w:r>
        <w:rPr>
          <w:rFonts w:hint="eastAsia" w:ascii="宋体" w:hAnsi="宋体"/>
          <w:sz w:val="24"/>
        </w:rPr>
        <w:t>电话：　010-88326666　　　　　　　　　  电话：</w:t>
      </w:r>
    </w:p>
    <w:p>
      <w:pPr>
        <w:adjustRightInd w:val="0"/>
        <w:snapToGrid w:val="0"/>
        <w:spacing w:line="360" w:lineRule="auto"/>
        <w:ind w:left="-2" w:leftChars="-1" w:firstLine="720" w:firstLineChars="300"/>
        <w:rPr>
          <w:rFonts w:ascii="宋体" w:hAnsi="宋体"/>
          <w:sz w:val="24"/>
        </w:rPr>
      </w:pPr>
      <w:r>
        <w:rPr>
          <w:rFonts w:hint="eastAsia" w:ascii="宋体" w:hAnsi="宋体"/>
          <w:sz w:val="24"/>
        </w:rPr>
        <w:t>年　　月　　日                           年　 　月　 　日</w:t>
      </w:r>
    </w:p>
    <w:p/>
    <w:p>
      <w:pPr>
        <w:widowControl/>
        <w:spacing w:line="288" w:lineRule="auto"/>
        <w:jc w:val="left"/>
        <w:rPr>
          <w:rFonts w:ascii="宋体" w:hAnsi="宋体"/>
          <w:szCs w:val="21"/>
        </w:rPr>
      </w:pPr>
    </w:p>
    <w:sectPr>
      <w:headerReference r:id="rId3" w:type="default"/>
      <w:pgSz w:w="11906" w:h="16838"/>
      <w:pgMar w:top="99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宋体-人口信息">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rFonts w:hint="eastAsia"/>
      </w:rPr>
      <w:t>北京大学人民医院  招标采购中心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A3B26"/>
    <w:multiLevelType w:val="multilevel"/>
    <w:tmpl w:val="2D4A3B26"/>
    <w:lvl w:ilvl="0" w:tentative="0">
      <w:start w:val="4"/>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724475"/>
    <w:multiLevelType w:val="multilevel"/>
    <w:tmpl w:val="7D72447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81A"/>
    <w:rsid w:val="00005612"/>
    <w:rsid w:val="00005BF5"/>
    <w:rsid w:val="00006BF0"/>
    <w:rsid w:val="00015485"/>
    <w:rsid w:val="00015860"/>
    <w:rsid w:val="000236CA"/>
    <w:rsid w:val="00024774"/>
    <w:rsid w:val="00027B7A"/>
    <w:rsid w:val="00031001"/>
    <w:rsid w:val="00032713"/>
    <w:rsid w:val="0003503A"/>
    <w:rsid w:val="00040A20"/>
    <w:rsid w:val="000424CC"/>
    <w:rsid w:val="000445AB"/>
    <w:rsid w:val="000468F4"/>
    <w:rsid w:val="00050D9B"/>
    <w:rsid w:val="00051180"/>
    <w:rsid w:val="00053C5A"/>
    <w:rsid w:val="00055282"/>
    <w:rsid w:val="00065597"/>
    <w:rsid w:val="00071C77"/>
    <w:rsid w:val="00071F48"/>
    <w:rsid w:val="00072BFF"/>
    <w:rsid w:val="00073C73"/>
    <w:rsid w:val="000802D9"/>
    <w:rsid w:val="0008280B"/>
    <w:rsid w:val="000857D8"/>
    <w:rsid w:val="000911EC"/>
    <w:rsid w:val="000925DD"/>
    <w:rsid w:val="00094ED3"/>
    <w:rsid w:val="00097CF5"/>
    <w:rsid w:val="000A2508"/>
    <w:rsid w:val="000A644E"/>
    <w:rsid w:val="000B07E6"/>
    <w:rsid w:val="000B0F10"/>
    <w:rsid w:val="000B3E7D"/>
    <w:rsid w:val="000B4494"/>
    <w:rsid w:val="000B7191"/>
    <w:rsid w:val="000B7802"/>
    <w:rsid w:val="000C035B"/>
    <w:rsid w:val="000E0E55"/>
    <w:rsid w:val="000E274E"/>
    <w:rsid w:val="000E3512"/>
    <w:rsid w:val="000E69DC"/>
    <w:rsid w:val="000F2F8C"/>
    <w:rsid w:val="00104335"/>
    <w:rsid w:val="00104611"/>
    <w:rsid w:val="0010565C"/>
    <w:rsid w:val="00105CFD"/>
    <w:rsid w:val="00110D75"/>
    <w:rsid w:val="00117A90"/>
    <w:rsid w:val="00126DB1"/>
    <w:rsid w:val="0013613D"/>
    <w:rsid w:val="00136EEC"/>
    <w:rsid w:val="0014294B"/>
    <w:rsid w:val="001430BD"/>
    <w:rsid w:val="00144722"/>
    <w:rsid w:val="00152B6F"/>
    <w:rsid w:val="00174551"/>
    <w:rsid w:val="00177905"/>
    <w:rsid w:val="00184585"/>
    <w:rsid w:val="00186730"/>
    <w:rsid w:val="001939F2"/>
    <w:rsid w:val="001949AB"/>
    <w:rsid w:val="00196FAE"/>
    <w:rsid w:val="001A4A92"/>
    <w:rsid w:val="001A563F"/>
    <w:rsid w:val="001B05E4"/>
    <w:rsid w:val="001B0A59"/>
    <w:rsid w:val="001D0573"/>
    <w:rsid w:val="001D2359"/>
    <w:rsid w:val="001D42E8"/>
    <w:rsid w:val="001E1F6B"/>
    <w:rsid w:val="001E73C4"/>
    <w:rsid w:val="001E7405"/>
    <w:rsid w:val="001F2DD9"/>
    <w:rsid w:val="001F2F2F"/>
    <w:rsid w:val="001F3591"/>
    <w:rsid w:val="001F4C41"/>
    <w:rsid w:val="00203FF9"/>
    <w:rsid w:val="00216026"/>
    <w:rsid w:val="002307C8"/>
    <w:rsid w:val="00236365"/>
    <w:rsid w:val="00242065"/>
    <w:rsid w:val="002530FB"/>
    <w:rsid w:val="0025784B"/>
    <w:rsid w:val="00260317"/>
    <w:rsid w:val="00270F9A"/>
    <w:rsid w:val="00273807"/>
    <w:rsid w:val="00275F33"/>
    <w:rsid w:val="002776BC"/>
    <w:rsid w:val="00284A48"/>
    <w:rsid w:val="00285EBB"/>
    <w:rsid w:val="0029052B"/>
    <w:rsid w:val="002A0686"/>
    <w:rsid w:val="002A093C"/>
    <w:rsid w:val="002A2C93"/>
    <w:rsid w:val="002A2E27"/>
    <w:rsid w:val="002A42B9"/>
    <w:rsid w:val="002A4CBC"/>
    <w:rsid w:val="002C2C5D"/>
    <w:rsid w:val="002C6041"/>
    <w:rsid w:val="002C6BFE"/>
    <w:rsid w:val="002D232B"/>
    <w:rsid w:val="002D3EFE"/>
    <w:rsid w:val="002E2250"/>
    <w:rsid w:val="002E4F63"/>
    <w:rsid w:val="002E6470"/>
    <w:rsid w:val="002F22C3"/>
    <w:rsid w:val="002F620B"/>
    <w:rsid w:val="002F6D3F"/>
    <w:rsid w:val="00300268"/>
    <w:rsid w:val="00305EB0"/>
    <w:rsid w:val="00306665"/>
    <w:rsid w:val="00310422"/>
    <w:rsid w:val="0033251C"/>
    <w:rsid w:val="00333B68"/>
    <w:rsid w:val="00336A08"/>
    <w:rsid w:val="00342B1C"/>
    <w:rsid w:val="00343EB4"/>
    <w:rsid w:val="00344CC7"/>
    <w:rsid w:val="003472D4"/>
    <w:rsid w:val="00352967"/>
    <w:rsid w:val="00362560"/>
    <w:rsid w:val="00362E6E"/>
    <w:rsid w:val="00363277"/>
    <w:rsid w:val="00363D7D"/>
    <w:rsid w:val="003663C7"/>
    <w:rsid w:val="00367A6A"/>
    <w:rsid w:val="00374D8D"/>
    <w:rsid w:val="0037542B"/>
    <w:rsid w:val="0037672A"/>
    <w:rsid w:val="00377F90"/>
    <w:rsid w:val="00381845"/>
    <w:rsid w:val="003A01D2"/>
    <w:rsid w:val="003A1A25"/>
    <w:rsid w:val="003A1D97"/>
    <w:rsid w:val="003A3384"/>
    <w:rsid w:val="003A5B90"/>
    <w:rsid w:val="003B346E"/>
    <w:rsid w:val="003B3A4E"/>
    <w:rsid w:val="003B3D8F"/>
    <w:rsid w:val="003B6DC3"/>
    <w:rsid w:val="003B78C1"/>
    <w:rsid w:val="003C423F"/>
    <w:rsid w:val="003D4057"/>
    <w:rsid w:val="003D45C5"/>
    <w:rsid w:val="003D4D75"/>
    <w:rsid w:val="003D5CDE"/>
    <w:rsid w:val="003D6108"/>
    <w:rsid w:val="003E2045"/>
    <w:rsid w:val="003E500D"/>
    <w:rsid w:val="003E65AE"/>
    <w:rsid w:val="003E6612"/>
    <w:rsid w:val="003E7D34"/>
    <w:rsid w:val="003F5071"/>
    <w:rsid w:val="0041632D"/>
    <w:rsid w:val="004176E4"/>
    <w:rsid w:val="00417D94"/>
    <w:rsid w:val="0042322A"/>
    <w:rsid w:val="0042585B"/>
    <w:rsid w:val="00434750"/>
    <w:rsid w:val="00435315"/>
    <w:rsid w:val="0044595C"/>
    <w:rsid w:val="004461D9"/>
    <w:rsid w:val="004523F3"/>
    <w:rsid w:val="004619DB"/>
    <w:rsid w:val="00461E80"/>
    <w:rsid w:val="0046288C"/>
    <w:rsid w:val="004641BB"/>
    <w:rsid w:val="00464CEA"/>
    <w:rsid w:val="00466038"/>
    <w:rsid w:val="004740EA"/>
    <w:rsid w:val="00482841"/>
    <w:rsid w:val="00483FC9"/>
    <w:rsid w:val="00491D0F"/>
    <w:rsid w:val="00497CF6"/>
    <w:rsid w:val="004A0AC1"/>
    <w:rsid w:val="004A2211"/>
    <w:rsid w:val="004A5D08"/>
    <w:rsid w:val="004A6911"/>
    <w:rsid w:val="004A79AC"/>
    <w:rsid w:val="004B067E"/>
    <w:rsid w:val="004B58E0"/>
    <w:rsid w:val="004C58ED"/>
    <w:rsid w:val="004C6237"/>
    <w:rsid w:val="004C7F0B"/>
    <w:rsid w:val="004D6F4A"/>
    <w:rsid w:val="004D7505"/>
    <w:rsid w:val="004F1072"/>
    <w:rsid w:val="004F1416"/>
    <w:rsid w:val="00512084"/>
    <w:rsid w:val="00520F2F"/>
    <w:rsid w:val="005233B4"/>
    <w:rsid w:val="00524191"/>
    <w:rsid w:val="00525709"/>
    <w:rsid w:val="005301B0"/>
    <w:rsid w:val="00535E37"/>
    <w:rsid w:val="005609F1"/>
    <w:rsid w:val="00564227"/>
    <w:rsid w:val="00566A9C"/>
    <w:rsid w:val="005759EE"/>
    <w:rsid w:val="00577D68"/>
    <w:rsid w:val="00585338"/>
    <w:rsid w:val="00587A47"/>
    <w:rsid w:val="005944CE"/>
    <w:rsid w:val="00594F39"/>
    <w:rsid w:val="005A0AF1"/>
    <w:rsid w:val="005A11C0"/>
    <w:rsid w:val="005B2CBD"/>
    <w:rsid w:val="005B4CF9"/>
    <w:rsid w:val="005B4E46"/>
    <w:rsid w:val="005B7D72"/>
    <w:rsid w:val="005D00D9"/>
    <w:rsid w:val="005D46C7"/>
    <w:rsid w:val="005D7386"/>
    <w:rsid w:val="005E0692"/>
    <w:rsid w:val="005E4A2E"/>
    <w:rsid w:val="005E6114"/>
    <w:rsid w:val="005E6637"/>
    <w:rsid w:val="005E79BA"/>
    <w:rsid w:val="005F3DC6"/>
    <w:rsid w:val="006035D7"/>
    <w:rsid w:val="00605951"/>
    <w:rsid w:val="00605C33"/>
    <w:rsid w:val="00611C8C"/>
    <w:rsid w:val="00615597"/>
    <w:rsid w:val="00617045"/>
    <w:rsid w:val="0061709D"/>
    <w:rsid w:val="00620591"/>
    <w:rsid w:val="0062142C"/>
    <w:rsid w:val="0062518A"/>
    <w:rsid w:val="00625944"/>
    <w:rsid w:val="006316A0"/>
    <w:rsid w:val="00631E66"/>
    <w:rsid w:val="00643F4C"/>
    <w:rsid w:val="006478A5"/>
    <w:rsid w:val="00654DC6"/>
    <w:rsid w:val="006558A8"/>
    <w:rsid w:val="006563F5"/>
    <w:rsid w:val="0067206F"/>
    <w:rsid w:val="0067235E"/>
    <w:rsid w:val="00674DBF"/>
    <w:rsid w:val="0068181C"/>
    <w:rsid w:val="00681DD7"/>
    <w:rsid w:val="00682EFB"/>
    <w:rsid w:val="00682F8B"/>
    <w:rsid w:val="00686CAA"/>
    <w:rsid w:val="00687911"/>
    <w:rsid w:val="00690D93"/>
    <w:rsid w:val="00693546"/>
    <w:rsid w:val="006939DF"/>
    <w:rsid w:val="006A59D2"/>
    <w:rsid w:val="006D422D"/>
    <w:rsid w:val="006D77CD"/>
    <w:rsid w:val="006E2784"/>
    <w:rsid w:val="006E47C6"/>
    <w:rsid w:val="006F12E1"/>
    <w:rsid w:val="00700865"/>
    <w:rsid w:val="00722091"/>
    <w:rsid w:val="00722D37"/>
    <w:rsid w:val="00724049"/>
    <w:rsid w:val="00726964"/>
    <w:rsid w:val="00726E34"/>
    <w:rsid w:val="00727AE2"/>
    <w:rsid w:val="00732766"/>
    <w:rsid w:val="007425A2"/>
    <w:rsid w:val="00744577"/>
    <w:rsid w:val="007467B6"/>
    <w:rsid w:val="00752A13"/>
    <w:rsid w:val="00755870"/>
    <w:rsid w:val="007667E9"/>
    <w:rsid w:val="007678A4"/>
    <w:rsid w:val="00771184"/>
    <w:rsid w:val="007770CE"/>
    <w:rsid w:val="00780309"/>
    <w:rsid w:val="007915A9"/>
    <w:rsid w:val="007920A8"/>
    <w:rsid w:val="00795CE4"/>
    <w:rsid w:val="007A5128"/>
    <w:rsid w:val="007A78F8"/>
    <w:rsid w:val="007B067D"/>
    <w:rsid w:val="007B3952"/>
    <w:rsid w:val="007B79EA"/>
    <w:rsid w:val="007C0CE3"/>
    <w:rsid w:val="007C30B4"/>
    <w:rsid w:val="007C4219"/>
    <w:rsid w:val="007D21F7"/>
    <w:rsid w:val="007E0A13"/>
    <w:rsid w:val="007E3218"/>
    <w:rsid w:val="007F517E"/>
    <w:rsid w:val="00804B2E"/>
    <w:rsid w:val="008065A6"/>
    <w:rsid w:val="00806827"/>
    <w:rsid w:val="008069CB"/>
    <w:rsid w:val="00807278"/>
    <w:rsid w:val="008137A0"/>
    <w:rsid w:val="00815F82"/>
    <w:rsid w:val="00830F47"/>
    <w:rsid w:val="00832354"/>
    <w:rsid w:val="00833C60"/>
    <w:rsid w:val="008355E8"/>
    <w:rsid w:val="00837C99"/>
    <w:rsid w:val="00840A78"/>
    <w:rsid w:val="00840D6E"/>
    <w:rsid w:val="008450C4"/>
    <w:rsid w:val="00845945"/>
    <w:rsid w:val="00856041"/>
    <w:rsid w:val="00856D92"/>
    <w:rsid w:val="008627A6"/>
    <w:rsid w:val="008645B2"/>
    <w:rsid w:val="00872D85"/>
    <w:rsid w:val="00872F46"/>
    <w:rsid w:val="008802F5"/>
    <w:rsid w:val="00885F2A"/>
    <w:rsid w:val="008864A7"/>
    <w:rsid w:val="00886FC9"/>
    <w:rsid w:val="008879CB"/>
    <w:rsid w:val="00895EDA"/>
    <w:rsid w:val="008B49EF"/>
    <w:rsid w:val="008B73F4"/>
    <w:rsid w:val="008C2B85"/>
    <w:rsid w:val="008C309A"/>
    <w:rsid w:val="008C3EB4"/>
    <w:rsid w:val="008C4600"/>
    <w:rsid w:val="008C4A88"/>
    <w:rsid w:val="008D3E70"/>
    <w:rsid w:val="008D555D"/>
    <w:rsid w:val="008F18ED"/>
    <w:rsid w:val="008F712D"/>
    <w:rsid w:val="00901746"/>
    <w:rsid w:val="00903442"/>
    <w:rsid w:val="00904DB5"/>
    <w:rsid w:val="00915C47"/>
    <w:rsid w:val="00916809"/>
    <w:rsid w:val="00916FF3"/>
    <w:rsid w:val="00924D25"/>
    <w:rsid w:val="00926BC9"/>
    <w:rsid w:val="009339F6"/>
    <w:rsid w:val="00934692"/>
    <w:rsid w:val="009374AC"/>
    <w:rsid w:val="0094213F"/>
    <w:rsid w:val="00952C92"/>
    <w:rsid w:val="0095590B"/>
    <w:rsid w:val="00957D23"/>
    <w:rsid w:val="00961245"/>
    <w:rsid w:val="0096344C"/>
    <w:rsid w:val="0096587D"/>
    <w:rsid w:val="009748FE"/>
    <w:rsid w:val="00982ECA"/>
    <w:rsid w:val="00986C64"/>
    <w:rsid w:val="00991F68"/>
    <w:rsid w:val="009A281E"/>
    <w:rsid w:val="009A483D"/>
    <w:rsid w:val="009A58EB"/>
    <w:rsid w:val="009A6A1B"/>
    <w:rsid w:val="009B221A"/>
    <w:rsid w:val="009B36CF"/>
    <w:rsid w:val="009C3BC3"/>
    <w:rsid w:val="009C526C"/>
    <w:rsid w:val="009D12B4"/>
    <w:rsid w:val="009D473D"/>
    <w:rsid w:val="009E0E94"/>
    <w:rsid w:val="009E40B6"/>
    <w:rsid w:val="009E49A7"/>
    <w:rsid w:val="009E7671"/>
    <w:rsid w:val="009F5264"/>
    <w:rsid w:val="00A01AB4"/>
    <w:rsid w:val="00A01D7E"/>
    <w:rsid w:val="00A11CAB"/>
    <w:rsid w:val="00A13DF5"/>
    <w:rsid w:val="00A1704C"/>
    <w:rsid w:val="00A240DB"/>
    <w:rsid w:val="00A26880"/>
    <w:rsid w:val="00A350F3"/>
    <w:rsid w:val="00A3548C"/>
    <w:rsid w:val="00A37439"/>
    <w:rsid w:val="00A42125"/>
    <w:rsid w:val="00A447E1"/>
    <w:rsid w:val="00A45437"/>
    <w:rsid w:val="00A462E2"/>
    <w:rsid w:val="00A46971"/>
    <w:rsid w:val="00A475BB"/>
    <w:rsid w:val="00A54525"/>
    <w:rsid w:val="00A56723"/>
    <w:rsid w:val="00A56760"/>
    <w:rsid w:val="00A57085"/>
    <w:rsid w:val="00A61176"/>
    <w:rsid w:val="00A64BF7"/>
    <w:rsid w:val="00A6605A"/>
    <w:rsid w:val="00A77FC0"/>
    <w:rsid w:val="00A8006A"/>
    <w:rsid w:val="00A82A15"/>
    <w:rsid w:val="00A83F98"/>
    <w:rsid w:val="00A84145"/>
    <w:rsid w:val="00A8581A"/>
    <w:rsid w:val="00A91A36"/>
    <w:rsid w:val="00A94A07"/>
    <w:rsid w:val="00AA0B99"/>
    <w:rsid w:val="00AA148A"/>
    <w:rsid w:val="00AA35FD"/>
    <w:rsid w:val="00AA3790"/>
    <w:rsid w:val="00AA55F4"/>
    <w:rsid w:val="00AB554F"/>
    <w:rsid w:val="00AC33EB"/>
    <w:rsid w:val="00AC5F9D"/>
    <w:rsid w:val="00AC7766"/>
    <w:rsid w:val="00AC7C00"/>
    <w:rsid w:val="00AD1251"/>
    <w:rsid w:val="00AD1C0B"/>
    <w:rsid w:val="00AD6627"/>
    <w:rsid w:val="00AE7C6C"/>
    <w:rsid w:val="00AF3F80"/>
    <w:rsid w:val="00AF4B65"/>
    <w:rsid w:val="00B07C85"/>
    <w:rsid w:val="00B370FE"/>
    <w:rsid w:val="00B40E25"/>
    <w:rsid w:val="00B41EE6"/>
    <w:rsid w:val="00B42B51"/>
    <w:rsid w:val="00B42BCE"/>
    <w:rsid w:val="00B44746"/>
    <w:rsid w:val="00B4768B"/>
    <w:rsid w:val="00B47B08"/>
    <w:rsid w:val="00B5559E"/>
    <w:rsid w:val="00B648C7"/>
    <w:rsid w:val="00B64EF2"/>
    <w:rsid w:val="00B66C93"/>
    <w:rsid w:val="00B67BAA"/>
    <w:rsid w:val="00B702F3"/>
    <w:rsid w:val="00B70D98"/>
    <w:rsid w:val="00B7306A"/>
    <w:rsid w:val="00B80662"/>
    <w:rsid w:val="00B85487"/>
    <w:rsid w:val="00B87D8E"/>
    <w:rsid w:val="00BA56E4"/>
    <w:rsid w:val="00BB59B9"/>
    <w:rsid w:val="00BB5D3E"/>
    <w:rsid w:val="00BC0FD1"/>
    <w:rsid w:val="00BC3D9F"/>
    <w:rsid w:val="00BD1633"/>
    <w:rsid w:val="00BD545E"/>
    <w:rsid w:val="00BE24C2"/>
    <w:rsid w:val="00BE3786"/>
    <w:rsid w:val="00BE3C21"/>
    <w:rsid w:val="00C000DC"/>
    <w:rsid w:val="00C14423"/>
    <w:rsid w:val="00C170AE"/>
    <w:rsid w:val="00C179A5"/>
    <w:rsid w:val="00C24F8B"/>
    <w:rsid w:val="00C26729"/>
    <w:rsid w:val="00C27463"/>
    <w:rsid w:val="00C30094"/>
    <w:rsid w:val="00C31450"/>
    <w:rsid w:val="00C35CAB"/>
    <w:rsid w:val="00C37840"/>
    <w:rsid w:val="00C43CEF"/>
    <w:rsid w:val="00C478A0"/>
    <w:rsid w:val="00C47B3C"/>
    <w:rsid w:val="00C55C16"/>
    <w:rsid w:val="00C614AB"/>
    <w:rsid w:val="00C62568"/>
    <w:rsid w:val="00C70F4C"/>
    <w:rsid w:val="00C72671"/>
    <w:rsid w:val="00C758D4"/>
    <w:rsid w:val="00C810B4"/>
    <w:rsid w:val="00C83F47"/>
    <w:rsid w:val="00C8574E"/>
    <w:rsid w:val="00C917BA"/>
    <w:rsid w:val="00C95676"/>
    <w:rsid w:val="00C97108"/>
    <w:rsid w:val="00CA2D95"/>
    <w:rsid w:val="00CA3120"/>
    <w:rsid w:val="00CA52BA"/>
    <w:rsid w:val="00CA655C"/>
    <w:rsid w:val="00CB0285"/>
    <w:rsid w:val="00CB0944"/>
    <w:rsid w:val="00CB1AF8"/>
    <w:rsid w:val="00CB2668"/>
    <w:rsid w:val="00CB6628"/>
    <w:rsid w:val="00CD024F"/>
    <w:rsid w:val="00CE0512"/>
    <w:rsid w:val="00CE2FE3"/>
    <w:rsid w:val="00CE5842"/>
    <w:rsid w:val="00CE5903"/>
    <w:rsid w:val="00CF1A23"/>
    <w:rsid w:val="00D05DF8"/>
    <w:rsid w:val="00D12E44"/>
    <w:rsid w:val="00D144C2"/>
    <w:rsid w:val="00D35F9C"/>
    <w:rsid w:val="00D3619F"/>
    <w:rsid w:val="00D4011E"/>
    <w:rsid w:val="00D41668"/>
    <w:rsid w:val="00D52834"/>
    <w:rsid w:val="00D5772D"/>
    <w:rsid w:val="00D624F6"/>
    <w:rsid w:val="00D64DE0"/>
    <w:rsid w:val="00D6759A"/>
    <w:rsid w:val="00D72D7F"/>
    <w:rsid w:val="00D771EC"/>
    <w:rsid w:val="00D8102E"/>
    <w:rsid w:val="00D85944"/>
    <w:rsid w:val="00D9781F"/>
    <w:rsid w:val="00D97CFA"/>
    <w:rsid w:val="00D97F3E"/>
    <w:rsid w:val="00DA5771"/>
    <w:rsid w:val="00DA6684"/>
    <w:rsid w:val="00DB1FE4"/>
    <w:rsid w:val="00DB333A"/>
    <w:rsid w:val="00DD37F0"/>
    <w:rsid w:val="00DE1110"/>
    <w:rsid w:val="00DE281A"/>
    <w:rsid w:val="00DE2FED"/>
    <w:rsid w:val="00DF2BE4"/>
    <w:rsid w:val="00DF38F7"/>
    <w:rsid w:val="00DF5207"/>
    <w:rsid w:val="00DF67AB"/>
    <w:rsid w:val="00DF70CB"/>
    <w:rsid w:val="00E07E85"/>
    <w:rsid w:val="00E15ED2"/>
    <w:rsid w:val="00E17CDF"/>
    <w:rsid w:val="00E20089"/>
    <w:rsid w:val="00E24802"/>
    <w:rsid w:val="00E33A7C"/>
    <w:rsid w:val="00E35A31"/>
    <w:rsid w:val="00E415F0"/>
    <w:rsid w:val="00E4438E"/>
    <w:rsid w:val="00E46DAE"/>
    <w:rsid w:val="00E47AA3"/>
    <w:rsid w:val="00E7139E"/>
    <w:rsid w:val="00E72063"/>
    <w:rsid w:val="00E728C7"/>
    <w:rsid w:val="00E740C6"/>
    <w:rsid w:val="00E74C28"/>
    <w:rsid w:val="00E764EE"/>
    <w:rsid w:val="00E8083D"/>
    <w:rsid w:val="00E82946"/>
    <w:rsid w:val="00E85308"/>
    <w:rsid w:val="00E9481A"/>
    <w:rsid w:val="00E953DB"/>
    <w:rsid w:val="00E96CE5"/>
    <w:rsid w:val="00EA49BF"/>
    <w:rsid w:val="00EA52E5"/>
    <w:rsid w:val="00EA59BA"/>
    <w:rsid w:val="00EB1D25"/>
    <w:rsid w:val="00EB5F2D"/>
    <w:rsid w:val="00EB631C"/>
    <w:rsid w:val="00EC07F4"/>
    <w:rsid w:val="00EC5F5A"/>
    <w:rsid w:val="00ED0586"/>
    <w:rsid w:val="00ED0D5C"/>
    <w:rsid w:val="00EE0C1D"/>
    <w:rsid w:val="00EE1D44"/>
    <w:rsid w:val="00EE389A"/>
    <w:rsid w:val="00EE5D2A"/>
    <w:rsid w:val="00EF3813"/>
    <w:rsid w:val="00EF76E6"/>
    <w:rsid w:val="00F03EA7"/>
    <w:rsid w:val="00F062A4"/>
    <w:rsid w:val="00F149E7"/>
    <w:rsid w:val="00F23831"/>
    <w:rsid w:val="00F2518A"/>
    <w:rsid w:val="00F25A8A"/>
    <w:rsid w:val="00F3292C"/>
    <w:rsid w:val="00F32BF5"/>
    <w:rsid w:val="00F35D1C"/>
    <w:rsid w:val="00F42AD6"/>
    <w:rsid w:val="00F447D1"/>
    <w:rsid w:val="00F53A42"/>
    <w:rsid w:val="00F53A88"/>
    <w:rsid w:val="00F55128"/>
    <w:rsid w:val="00F57ABB"/>
    <w:rsid w:val="00F61F2D"/>
    <w:rsid w:val="00F63102"/>
    <w:rsid w:val="00F6496B"/>
    <w:rsid w:val="00F651EA"/>
    <w:rsid w:val="00F85041"/>
    <w:rsid w:val="00F87A85"/>
    <w:rsid w:val="00F87B01"/>
    <w:rsid w:val="00F94421"/>
    <w:rsid w:val="00FA1DDE"/>
    <w:rsid w:val="00FA5367"/>
    <w:rsid w:val="00FB3E6C"/>
    <w:rsid w:val="00FB5A6C"/>
    <w:rsid w:val="00FB76B5"/>
    <w:rsid w:val="00FE0D99"/>
    <w:rsid w:val="00FE10E3"/>
    <w:rsid w:val="00FE397B"/>
    <w:rsid w:val="00FE4802"/>
    <w:rsid w:val="00FE78C8"/>
    <w:rsid w:val="5B87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4"/>
    <w:qFormat/>
    <w:uiPriority w:val="0"/>
    <w:pPr>
      <w:keepNext/>
      <w:keepLines/>
      <w:spacing w:before="120" w:after="120"/>
      <w:jc w:val="center"/>
      <w:outlineLvl w:val="0"/>
    </w:pPr>
    <w:rPr>
      <w:b/>
      <w:kern w:val="44"/>
      <w:sz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rPr>
  </w:style>
  <w:style w:type="paragraph" w:styleId="4">
    <w:name w:val="Body Text"/>
    <w:basedOn w:val="1"/>
    <w:link w:val="21"/>
    <w:qFormat/>
    <w:uiPriority w:val="1"/>
    <w:pPr>
      <w:autoSpaceDE w:val="0"/>
      <w:autoSpaceDN w:val="0"/>
      <w:jc w:val="left"/>
    </w:pPr>
    <w:rPr>
      <w:rFonts w:ascii="宋体" w:hAnsi="宋体" w:cs="宋体"/>
      <w:kern w:val="0"/>
      <w:szCs w:val="21"/>
      <w:lang w:val="zh-CN" w:bidi="zh-CN"/>
    </w:rPr>
  </w:style>
  <w:style w:type="paragraph" w:styleId="5">
    <w:name w:val="Plain Text"/>
    <w:basedOn w:val="1"/>
    <w:link w:val="22"/>
    <w:qFormat/>
    <w:uiPriority w:val="0"/>
    <w:pPr>
      <w:widowControl/>
      <w:spacing w:before="100" w:beforeAutospacing="1" w:after="100" w:afterAutospacing="1"/>
      <w:jc w:val="left"/>
    </w:pPr>
    <w:rPr>
      <w:rFonts w:ascii="宋体" w:hAnsi="宋体" w:cs="宋体" w:eastAsiaTheme="minorEastAsia"/>
      <w:sz w:val="24"/>
      <w:szCs w:val="24"/>
    </w:rPr>
  </w:style>
  <w:style w:type="paragraph" w:styleId="6">
    <w:name w:val="Balloon Text"/>
    <w:basedOn w:val="1"/>
    <w:link w:val="16"/>
    <w:semiHidden/>
    <w:unhideWhenUsed/>
    <w:uiPriority w:val="99"/>
    <w:rPr>
      <w:sz w:val="18"/>
      <w:szCs w:val="18"/>
    </w:rPr>
  </w:style>
  <w:style w:type="paragraph" w:styleId="7">
    <w:name w:val="footer"/>
    <w:basedOn w:val="1"/>
    <w:link w:val="18"/>
    <w:unhideWhenUsed/>
    <w:uiPriority w:val="99"/>
    <w:pPr>
      <w:tabs>
        <w:tab w:val="center" w:pos="4153"/>
        <w:tab w:val="right" w:pos="8306"/>
      </w:tabs>
      <w:snapToGrid w:val="0"/>
      <w:jc w:val="left"/>
    </w:pPr>
    <w:rPr>
      <w:sz w:val="18"/>
      <w:szCs w:val="18"/>
    </w:rPr>
  </w:style>
  <w:style w:type="paragraph" w:styleId="8">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kern w:val="0"/>
      <w:sz w:val="24"/>
      <w:szCs w:val="24"/>
    </w:rPr>
  </w:style>
  <w:style w:type="table" w:styleId="11">
    <w:name w:val="Table Grid"/>
    <w:basedOn w:val="1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customStyle="1" w:styleId="14">
    <w:name w:val="标题 1 Char"/>
    <w:basedOn w:val="12"/>
    <w:link w:val="2"/>
    <w:uiPriority w:val="0"/>
    <w:rPr>
      <w:rFonts w:ascii="Times New Roman" w:hAnsi="Times New Roman" w:eastAsia="宋体" w:cs="Times New Roman"/>
      <w:b/>
      <w:kern w:val="44"/>
      <w:sz w:val="44"/>
      <w:szCs w:val="20"/>
    </w:rPr>
  </w:style>
  <w:style w:type="character" w:customStyle="1" w:styleId="15">
    <w:name w:val="页眉 Char"/>
    <w:basedOn w:val="12"/>
    <w:link w:val="8"/>
    <w:uiPriority w:val="0"/>
    <w:rPr>
      <w:rFonts w:ascii="Times New Roman" w:hAnsi="Times New Roman" w:eastAsia="宋体" w:cs="Times New Roman"/>
      <w:sz w:val="18"/>
      <w:szCs w:val="18"/>
    </w:rPr>
  </w:style>
  <w:style w:type="character" w:customStyle="1" w:styleId="16">
    <w:name w:val="批注框文本 Char"/>
    <w:basedOn w:val="12"/>
    <w:link w:val="6"/>
    <w:semiHidden/>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页脚 Char"/>
    <w:basedOn w:val="12"/>
    <w:link w:val="7"/>
    <w:uiPriority w:val="99"/>
    <w:rPr>
      <w:rFonts w:ascii="Times New Roman" w:hAnsi="Times New Roman" w:eastAsia="宋体" w:cs="Times New Roman"/>
      <w:sz w:val="18"/>
      <w:szCs w:val="18"/>
    </w:rPr>
  </w:style>
  <w:style w:type="paragraph" w:customStyle="1" w:styleId="19">
    <w:name w:val="目录"/>
    <w:basedOn w:val="1"/>
    <w:uiPriority w:val="0"/>
    <w:pPr>
      <w:widowControl/>
      <w:jc w:val="center"/>
    </w:pPr>
    <w:rPr>
      <w:rFonts w:ascii="宋体"/>
      <w:b/>
      <w:kern w:val="0"/>
      <w:sz w:val="36"/>
    </w:rPr>
  </w:style>
  <w:style w:type="paragraph" w:customStyle="1" w:styleId="20">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21">
    <w:name w:val="正文文本 Char"/>
    <w:basedOn w:val="12"/>
    <w:link w:val="4"/>
    <w:uiPriority w:val="1"/>
    <w:rPr>
      <w:rFonts w:ascii="宋体" w:hAnsi="宋体" w:eastAsia="宋体" w:cs="宋体"/>
      <w:kern w:val="0"/>
      <w:szCs w:val="21"/>
      <w:lang w:val="zh-CN" w:bidi="zh-CN"/>
    </w:rPr>
  </w:style>
  <w:style w:type="character" w:customStyle="1" w:styleId="22">
    <w:name w:val="纯文本 Char"/>
    <w:basedOn w:val="12"/>
    <w:link w:val="5"/>
    <w:qFormat/>
    <w:locked/>
    <w:uiPriority w:val="0"/>
    <w:rPr>
      <w:rFonts w:ascii="宋体" w:hAnsi="宋体" w:cs="宋体"/>
      <w:sz w:val="24"/>
      <w:szCs w:val="24"/>
    </w:rPr>
  </w:style>
  <w:style w:type="character" w:customStyle="1" w:styleId="23">
    <w:name w:val="纯文本 Char1"/>
    <w:basedOn w:val="12"/>
    <w:semiHidden/>
    <w:uiPriority w:val="99"/>
    <w:rPr>
      <w:rFonts w:ascii="宋体" w:hAnsi="Courier New" w:eastAsia="宋体" w:cs="Courier New"/>
      <w:szCs w:val="21"/>
    </w:rPr>
  </w:style>
  <w:style w:type="paragraph" w:customStyle="1" w:styleId="24">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table" w:customStyle="1" w:styleId="25">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26">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27">
    <w:name w:val="首行缩进:  0.85 厘米"/>
    <w:basedOn w:val="1"/>
    <w:link w:val="28"/>
    <w:qFormat/>
    <w:uiPriority w:val="0"/>
    <w:pPr>
      <w:widowControl/>
      <w:spacing w:after="100" w:line="360" w:lineRule="auto"/>
      <w:ind w:firstLine="482"/>
      <w:jc w:val="left"/>
    </w:pPr>
    <w:rPr>
      <w:rFonts w:cs="Calibri Light"/>
      <w:kern w:val="0"/>
      <w:sz w:val="24"/>
      <w:lang w:val="zh-CN" w:eastAsia="en-US" w:bidi="en-US"/>
    </w:rPr>
  </w:style>
  <w:style w:type="character" w:customStyle="1" w:styleId="28">
    <w:name w:val="首行缩进:  0.85 厘米 Char"/>
    <w:link w:val="27"/>
    <w:qFormat/>
    <w:locked/>
    <w:uiPriority w:val="0"/>
    <w:rPr>
      <w:rFonts w:ascii="Times New Roman" w:hAnsi="Times New Roman" w:eastAsia="宋体" w:cs="Calibri Light"/>
      <w:kern w:val="0"/>
      <w:sz w:val="24"/>
      <w:szCs w:val="20"/>
      <w:lang w:val="zh-CN"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9DB3E-61E0-44BE-A2EB-6595D5AA7A06}">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1580</Words>
  <Characters>9010</Characters>
  <Lines>75</Lines>
  <Paragraphs>21</Paragraphs>
  <TotalTime>0</TotalTime>
  <ScaleCrop>false</ScaleCrop>
  <LinksUpToDate>false</LinksUpToDate>
  <CharactersWithSpaces>10569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2021-03-18T02:48:00Z</dcterms:created>
  <dc:creator>User</dc:creator>
  <cp:lastModifiedBy>xiexi</cp:lastModifiedBy>
  <cp:lastPrinted>2015-07-01T23:52:00Z</cp:lastPrinted>
  <dcterms:modified xsi:type="dcterms:W3CDTF">2022-07-21T12:30:46Z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898BDF71AF4D433BABEAA9D2E117C665</vt:lpwstr>
  </property>
</Properties>
</file>