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C14BD2">
        <w:rPr>
          <w:rFonts w:asciiTheme="minorEastAsia" w:eastAsiaTheme="minorEastAsia" w:hAnsiTheme="minorEastAsia" w:hint="eastAsia"/>
          <w:color w:val="000000"/>
          <w:szCs w:val="21"/>
        </w:rPr>
        <w:t>医学</w:t>
      </w:r>
      <w:proofErr w:type="gramStart"/>
      <w:r w:rsidR="00C14BD2">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3D67BF" w:rsidRPr="003D67BF">
        <w:rPr>
          <w:rFonts w:hint="eastAsia"/>
        </w:rPr>
        <w:t>移动</w:t>
      </w:r>
      <w:proofErr w:type="gramStart"/>
      <w:r w:rsidR="003D67BF" w:rsidRPr="003D67BF">
        <w:rPr>
          <w:rFonts w:hint="eastAsia"/>
        </w:rPr>
        <w:t>手术灯</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3D67BF" w:rsidRPr="00486B55" w:rsidRDefault="003D67BF" w:rsidP="003D67BF">
      <w:pPr>
        <w:numPr>
          <w:ilvl w:val="1"/>
          <w:numId w:val="21"/>
        </w:numPr>
        <w:spacing w:line="360" w:lineRule="auto"/>
        <w:rPr>
          <w:rFonts w:ascii="宋体" w:hAnsi="宋体"/>
        </w:rPr>
      </w:pPr>
      <w:r>
        <w:rPr>
          <w:rFonts w:ascii="宋体" w:hAnsi="宋体" w:hint="eastAsia"/>
        </w:rPr>
        <w:t>#采用LED冷光技术，每组L</w:t>
      </w:r>
      <w:r>
        <w:rPr>
          <w:rFonts w:ascii="宋体" w:hAnsi="宋体"/>
        </w:rPr>
        <w:t>ED</w:t>
      </w:r>
      <w:r>
        <w:rPr>
          <w:rFonts w:ascii="宋体" w:hAnsi="宋体" w:hint="eastAsia"/>
        </w:rPr>
        <w:t>光源都有单独的透镜聚光，可单独更换单个光源。</w:t>
      </w:r>
    </w:p>
    <w:p w:rsidR="003D67BF" w:rsidRDefault="003D67BF" w:rsidP="003D67BF">
      <w:pPr>
        <w:numPr>
          <w:ilvl w:val="1"/>
          <w:numId w:val="21"/>
        </w:numPr>
        <w:spacing w:line="360" w:lineRule="auto"/>
        <w:rPr>
          <w:rFonts w:ascii="宋体" w:hAnsi="宋体"/>
        </w:rPr>
      </w:pPr>
      <w:r>
        <w:rPr>
          <w:rFonts w:ascii="宋体" w:hAnsi="宋体" w:hint="eastAsia"/>
        </w:rPr>
        <w:t>#</w:t>
      </w:r>
      <w:r w:rsidRPr="003D4632">
        <w:rPr>
          <w:rFonts w:ascii="宋体" w:hAnsi="宋体" w:hint="eastAsia"/>
        </w:rPr>
        <w:t>灯头为</w:t>
      </w:r>
      <w:r>
        <w:rPr>
          <w:rFonts w:ascii="宋体" w:hAnsi="宋体" w:hint="eastAsia"/>
        </w:rPr>
        <w:t>多边形超薄设计</w:t>
      </w:r>
      <w:r w:rsidRPr="003D4632">
        <w:rPr>
          <w:rFonts w:ascii="宋体" w:hAnsi="宋体" w:hint="eastAsia"/>
        </w:rPr>
        <w:t>，</w:t>
      </w:r>
      <w:r>
        <w:rPr>
          <w:rFonts w:ascii="宋体" w:hAnsi="宋体" w:hint="eastAsia"/>
        </w:rPr>
        <w:t>具有良好的层流穿透效果，符合D</w:t>
      </w:r>
      <w:r>
        <w:rPr>
          <w:rFonts w:ascii="宋体" w:hAnsi="宋体"/>
        </w:rPr>
        <w:t>IN1946-4</w:t>
      </w:r>
      <w:r>
        <w:rPr>
          <w:rFonts w:ascii="宋体" w:hAnsi="宋体" w:hint="eastAsia"/>
        </w:rPr>
        <w:t>现代层流</w:t>
      </w:r>
      <w:proofErr w:type="gramStart"/>
      <w:r>
        <w:rPr>
          <w:rFonts w:ascii="宋体" w:hAnsi="宋体" w:hint="eastAsia"/>
        </w:rPr>
        <w:t>手术室感控要求</w:t>
      </w:r>
      <w:proofErr w:type="gramEnd"/>
      <w:r>
        <w:rPr>
          <w:rFonts w:ascii="宋体" w:hAnsi="宋体" w:hint="eastAsia"/>
        </w:rPr>
        <w:t>，提供第三方证明文件。</w:t>
      </w:r>
    </w:p>
    <w:p w:rsidR="003D67BF" w:rsidRDefault="003D67BF" w:rsidP="003D67BF">
      <w:pPr>
        <w:numPr>
          <w:ilvl w:val="1"/>
          <w:numId w:val="21"/>
        </w:numPr>
        <w:spacing w:line="360" w:lineRule="auto"/>
        <w:rPr>
          <w:rFonts w:ascii="宋体" w:hAnsi="宋体"/>
        </w:rPr>
      </w:pPr>
      <w:r>
        <w:rPr>
          <w:rFonts w:ascii="宋体" w:hAnsi="宋体" w:hint="eastAsia"/>
        </w:rPr>
        <w:t>灯盘</w:t>
      </w:r>
      <w:r w:rsidRPr="003D4632">
        <w:rPr>
          <w:rFonts w:ascii="宋体" w:hAnsi="宋体" w:hint="eastAsia"/>
        </w:rPr>
        <w:t>一体成型操作扶手，便</w:t>
      </w:r>
      <w:r>
        <w:rPr>
          <w:rFonts w:ascii="宋体" w:hAnsi="宋体" w:hint="eastAsia"/>
        </w:rPr>
        <w:t>于非洁净区人员移动手术灯位置的同时，医护人员清洁时不会留</w:t>
      </w:r>
      <w:r w:rsidRPr="003D4632">
        <w:rPr>
          <w:rFonts w:ascii="宋体" w:hAnsi="宋体" w:hint="eastAsia"/>
        </w:rPr>
        <w:t>残留污染，影响洁净消毒效果。</w:t>
      </w:r>
    </w:p>
    <w:p w:rsidR="003D67BF" w:rsidRPr="00003FE8" w:rsidRDefault="003D67BF" w:rsidP="003D67BF">
      <w:pPr>
        <w:numPr>
          <w:ilvl w:val="1"/>
          <w:numId w:val="21"/>
        </w:numPr>
        <w:spacing w:line="360" w:lineRule="auto"/>
        <w:rPr>
          <w:rFonts w:ascii="宋体" w:hAnsi="宋体"/>
        </w:rPr>
      </w:pPr>
      <w:r w:rsidRPr="00003FE8">
        <w:rPr>
          <w:rFonts w:ascii="宋体" w:hAnsi="宋体" w:hint="eastAsia"/>
        </w:rPr>
        <w:t>洁净区人员可通过中置消毒手柄移动手术灯位置，中置手柄可耐受134℃、</w:t>
      </w:r>
      <w:r w:rsidRPr="00003FE8">
        <w:rPr>
          <w:rFonts w:ascii="宋体" w:hAnsi="宋体"/>
        </w:rPr>
        <w:t>205.8kPa</w:t>
      </w:r>
      <w:r w:rsidRPr="00003FE8">
        <w:rPr>
          <w:rFonts w:ascii="宋体" w:hAnsi="宋体" w:hint="eastAsia"/>
        </w:rPr>
        <w:t>的高温高压蒸汽灭菌。</w:t>
      </w:r>
    </w:p>
    <w:p w:rsidR="003D67BF" w:rsidRDefault="003D67BF" w:rsidP="003D67BF">
      <w:pPr>
        <w:numPr>
          <w:ilvl w:val="1"/>
          <w:numId w:val="21"/>
        </w:numPr>
        <w:spacing w:line="360" w:lineRule="auto"/>
        <w:rPr>
          <w:rFonts w:ascii="宋体" w:hAnsi="宋体"/>
        </w:rPr>
      </w:pPr>
      <w:r>
        <w:rPr>
          <w:rFonts w:ascii="宋体" w:hAnsi="宋体" w:hint="eastAsia"/>
        </w:rPr>
        <w:t>中心照度≥160,000L</w:t>
      </w:r>
      <w:r>
        <w:rPr>
          <w:rFonts w:ascii="宋体" w:hAnsi="宋体"/>
        </w:rPr>
        <w:t>x</w:t>
      </w:r>
      <w:r>
        <w:rPr>
          <w:rFonts w:ascii="宋体" w:hAnsi="宋体" w:hint="eastAsia"/>
        </w:rPr>
        <w:t>。</w:t>
      </w:r>
    </w:p>
    <w:p w:rsidR="003D67BF" w:rsidRDefault="003D67BF" w:rsidP="003D67BF">
      <w:pPr>
        <w:numPr>
          <w:ilvl w:val="1"/>
          <w:numId w:val="21"/>
        </w:numPr>
        <w:spacing w:line="360" w:lineRule="auto"/>
        <w:rPr>
          <w:rFonts w:ascii="宋体" w:hAnsi="宋体"/>
        </w:rPr>
      </w:pPr>
      <w:r>
        <w:rPr>
          <w:rFonts w:ascii="宋体" w:hAnsi="宋体" w:hint="eastAsia"/>
        </w:rPr>
        <w:t>光柱深度≥120</w:t>
      </w:r>
      <w:r>
        <w:rPr>
          <w:rFonts w:ascii="宋体" w:hAnsi="宋体"/>
        </w:rPr>
        <w:t>0mm</w:t>
      </w:r>
      <w:r>
        <w:rPr>
          <w:rFonts w:ascii="宋体" w:hAnsi="宋体" w:hint="eastAsia"/>
        </w:rPr>
        <w:t>。</w:t>
      </w:r>
    </w:p>
    <w:p w:rsidR="003D67BF" w:rsidRDefault="003D67BF" w:rsidP="003D67BF">
      <w:pPr>
        <w:numPr>
          <w:ilvl w:val="1"/>
          <w:numId w:val="21"/>
        </w:numPr>
        <w:spacing w:line="360" w:lineRule="auto"/>
        <w:rPr>
          <w:rFonts w:ascii="宋体" w:hAnsi="宋体"/>
        </w:rPr>
      </w:pPr>
      <w:r w:rsidRPr="003D4632">
        <w:rPr>
          <w:rFonts w:ascii="宋体" w:hAnsi="宋体" w:hint="eastAsia"/>
        </w:rPr>
        <w:t>★</w:t>
      </w:r>
      <w:r w:rsidRPr="00003FE8">
        <w:rPr>
          <w:rFonts w:ascii="宋体" w:hAnsi="宋体" w:hint="eastAsia"/>
        </w:rPr>
        <w:t>光斑直径可以调节，</w:t>
      </w:r>
      <w:r>
        <w:rPr>
          <w:rFonts w:ascii="宋体" w:hAnsi="宋体" w:hint="eastAsia"/>
        </w:rPr>
        <w:t>满足最小光斑直径d10为≤140mm，最大光斑直径d10为≥320mm。</w:t>
      </w:r>
    </w:p>
    <w:p w:rsidR="003D67BF" w:rsidRPr="00903B32" w:rsidRDefault="003D67BF" w:rsidP="003D67BF">
      <w:pPr>
        <w:numPr>
          <w:ilvl w:val="1"/>
          <w:numId w:val="21"/>
        </w:numPr>
        <w:spacing w:line="360" w:lineRule="auto"/>
        <w:rPr>
          <w:rFonts w:ascii="宋体" w:hAnsi="宋体"/>
        </w:rPr>
      </w:pPr>
      <w:r w:rsidRPr="003D4632">
        <w:rPr>
          <w:rFonts w:ascii="宋体" w:hAnsi="宋体" w:hint="eastAsia"/>
        </w:rPr>
        <w:t>★</w:t>
      </w:r>
      <w:r>
        <w:rPr>
          <w:rFonts w:ascii="宋体" w:hAnsi="宋体" w:hint="eastAsia"/>
        </w:rPr>
        <w:t>d50/d10最小光斑直径下为≥60%，最大光斑直径</w:t>
      </w:r>
      <w:r>
        <w:rPr>
          <w:rFonts w:ascii="宋体" w:hAnsi="宋体"/>
        </w:rPr>
        <w:t>d50</w:t>
      </w:r>
      <w:r>
        <w:rPr>
          <w:rFonts w:ascii="宋体" w:hAnsi="宋体" w:hint="eastAsia"/>
        </w:rPr>
        <w:t>/d10值为≥70</w:t>
      </w:r>
      <w:r>
        <w:rPr>
          <w:rFonts w:ascii="宋体" w:hAnsi="宋体"/>
        </w:rPr>
        <w:t>%</w:t>
      </w:r>
      <w:r>
        <w:rPr>
          <w:rFonts w:ascii="宋体" w:hAnsi="宋体" w:hint="eastAsia"/>
        </w:rPr>
        <w:t>。</w:t>
      </w:r>
    </w:p>
    <w:p w:rsidR="003D67BF" w:rsidRPr="00486B55" w:rsidRDefault="003D67BF" w:rsidP="003D67BF">
      <w:pPr>
        <w:numPr>
          <w:ilvl w:val="1"/>
          <w:numId w:val="21"/>
        </w:numPr>
        <w:spacing w:line="360" w:lineRule="auto"/>
        <w:rPr>
          <w:rFonts w:ascii="宋体" w:hAnsi="宋体"/>
        </w:rPr>
      </w:pPr>
      <w:r>
        <w:rPr>
          <w:rFonts w:ascii="宋体" w:hAnsi="宋体" w:hint="eastAsia"/>
        </w:rPr>
        <w:t>深腔照明率可达100%。</w:t>
      </w:r>
    </w:p>
    <w:p w:rsidR="003D67BF" w:rsidRDefault="003D67BF" w:rsidP="003D67BF">
      <w:pPr>
        <w:numPr>
          <w:ilvl w:val="1"/>
          <w:numId w:val="21"/>
        </w:numPr>
        <w:spacing w:line="360" w:lineRule="auto"/>
        <w:rPr>
          <w:rFonts w:ascii="宋体" w:hAnsi="宋体"/>
        </w:rPr>
      </w:pPr>
      <w:r w:rsidRPr="0033343D">
        <w:rPr>
          <w:rFonts w:ascii="宋体" w:hAnsi="宋体" w:hint="eastAsia"/>
          <w:sz w:val="22"/>
        </w:rPr>
        <w:t>显色指数R</w:t>
      </w:r>
      <w:r>
        <w:rPr>
          <w:rFonts w:ascii="宋体" w:hAnsi="宋体"/>
          <w:sz w:val="22"/>
        </w:rPr>
        <w:t>a</w:t>
      </w:r>
      <w:r>
        <w:rPr>
          <w:rFonts w:ascii="宋体" w:hAnsi="宋体" w:hint="eastAsia"/>
          <w:sz w:val="22"/>
        </w:rPr>
        <w:t>：≥</w:t>
      </w:r>
      <w:r>
        <w:rPr>
          <w:rFonts w:ascii="宋体" w:hAnsi="宋体" w:hint="eastAsia"/>
        </w:rPr>
        <w:t>97。</w:t>
      </w:r>
    </w:p>
    <w:p w:rsidR="003D67BF" w:rsidRDefault="003D67BF" w:rsidP="003D67BF">
      <w:pPr>
        <w:numPr>
          <w:ilvl w:val="1"/>
          <w:numId w:val="21"/>
        </w:numPr>
        <w:spacing w:line="360" w:lineRule="auto"/>
        <w:rPr>
          <w:rFonts w:ascii="宋体" w:hAnsi="宋体"/>
          <w:sz w:val="22"/>
        </w:rPr>
      </w:pPr>
      <w:r w:rsidRPr="0033343D">
        <w:rPr>
          <w:rFonts w:ascii="宋体" w:hAnsi="宋体" w:hint="eastAsia"/>
          <w:sz w:val="22"/>
        </w:rPr>
        <w:t>显色指数R9</w:t>
      </w:r>
      <w:r>
        <w:rPr>
          <w:rFonts w:ascii="宋体" w:hAnsi="宋体" w:hint="eastAsia"/>
          <w:sz w:val="22"/>
        </w:rPr>
        <w:t>：≥97。</w:t>
      </w:r>
    </w:p>
    <w:p w:rsidR="003D67BF" w:rsidRPr="00614AFD" w:rsidRDefault="003D67BF" w:rsidP="003D67BF">
      <w:pPr>
        <w:numPr>
          <w:ilvl w:val="1"/>
          <w:numId w:val="21"/>
        </w:numPr>
        <w:spacing w:line="360" w:lineRule="auto"/>
        <w:rPr>
          <w:rFonts w:asciiTheme="majorEastAsia" w:eastAsiaTheme="majorEastAsia" w:hAnsiTheme="majorEastAsia"/>
          <w:szCs w:val="21"/>
        </w:rPr>
      </w:pPr>
      <w:r>
        <w:rPr>
          <w:rFonts w:asciiTheme="majorEastAsia" w:eastAsiaTheme="majorEastAsia" w:hAnsiTheme="majorEastAsia" w:cs="FZLTH3K--GBK1-0" w:hint="eastAsia"/>
          <w:color w:val="191919"/>
          <w:kern w:val="0"/>
          <w:szCs w:val="21"/>
        </w:rPr>
        <w:t>配备</w:t>
      </w:r>
      <w:r w:rsidRPr="001D628A">
        <w:rPr>
          <w:rFonts w:asciiTheme="majorEastAsia" w:eastAsiaTheme="majorEastAsia" w:hAnsiTheme="majorEastAsia" w:cs="FZLTH3K--GBK1-0" w:hint="eastAsia"/>
          <w:color w:val="191919"/>
          <w:kern w:val="0"/>
          <w:szCs w:val="21"/>
        </w:rPr>
        <w:t>可移动台车和内置电池满足您随时随地的手术照明需求。简单手柄设计和</w:t>
      </w:r>
      <w:r>
        <w:rPr>
          <w:rFonts w:asciiTheme="majorEastAsia" w:eastAsiaTheme="majorEastAsia" w:hAnsiTheme="majorEastAsia" w:cs="FZLTH3K--GBK1-0" w:hint="eastAsia"/>
          <w:color w:val="191919"/>
          <w:kern w:val="0"/>
          <w:szCs w:val="21"/>
        </w:rPr>
        <w:t>≥4</w:t>
      </w:r>
      <w:r w:rsidRPr="001D628A">
        <w:rPr>
          <w:rFonts w:asciiTheme="majorEastAsia" w:eastAsiaTheme="majorEastAsia" w:hAnsiTheme="majorEastAsia" w:cs="FZLTH3K--GBK1-0" w:hint="eastAsia"/>
          <w:color w:val="191919"/>
          <w:kern w:val="0"/>
          <w:szCs w:val="21"/>
        </w:rPr>
        <w:t>个可刹车车轮</w:t>
      </w:r>
      <w:r>
        <w:rPr>
          <w:rFonts w:asciiTheme="majorEastAsia" w:eastAsiaTheme="majorEastAsia" w:hAnsiTheme="majorEastAsia" w:cs="FZLTH3K--GBK1-0" w:hint="eastAsia"/>
          <w:color w:val="191919"/>
          <w:kern w:val="0"/>
          <w:szCs w:val="21"/>
        </w:rPr>
        <w:t>。</w:t>
      </w:r>
    </w:p>
    <w:p w:rsidR="003D67BF" w:rsidRPr="00614AFD" w:rsidRDefault="003D67BF" w:rsidP="003D67BF">
      <w:pPr>
        <w:numPr>
          <w:ilvl w:val="1"/>
          <w:numId w:val="21"/>
        </w:numPr>
        <w:spacing w:line="360" w:lineRule="auto"/>
        <w:rPr>
          <w:rFonts w:asciiTheme="majorEastAsia" w:eastAsiaTheme="majorEastAsia" w:hAnsiTheme="majorEastAsia"/>
          <w:szCs w:val="21"/>
        </w:rPr>
      </w:pPr>
      <w:r>
        <w:rPr>
          <w:rFonts w:asciiTheme="majorEastAsia" w:eastAsiaTheme="majorEastAsia" w:hAnsiTheme="majorEastAsia" w:cs="FZLTH3K--GBK1-0" w:hint="eastAsia"/>
          <w:color w:val="191919"/>
          <w:kern w:val="0"/>
          <w:szCs w:val="21"/>
        </w:rPr>
        <w:t>数量</w:t>
      </w:r>
      <w:r>
        <w:rPr>
          <w:rFonts w:asciiTheme="majorEastAsia" w:eastAsiaTheme="majorEastAsia" w:hAnsiTheme="majorEastAsia" w:cs="FZLTH3K--GBK1-0"/>
          <w:color w:val="191919"/>
          <w:kern w:val="0"/>
          <w:szCs w:val="21"/>
        </w:rPr>
        <w:t>：</w:t>
      </w:r>
      <w:r>
        <w:rPr>
          <w:rFonts w:asciiTheme="majorEastAsia" w:eastAsiaTheme="majorEastAsia" w:hAnsiTheme="majorEastAsia" w:cs="FZLTH3K--GBK1-0" w:hint="eastAsia"/>
          <w:color w:val="191919"/>
          <w:kern w:val="0"/>
          <w:szCs w:val="21"/>
        </w:rPr>
        <w:t>1套</w:t>
      </w:r>
    </w:p>
    <w:p w:rsidR="003D67BF" w:rsidRPr="00614AFD" w:rsidRDefault="003D67BF" w:rsidP="003D67BF">
      <w:pPr>
        <w:numPr>
          <w:ilvl w:val="1"/>
          <w:numId w:val="21"/>
        </w:numPr>
        <w:spacing w:line="360" w:lineRule="auto"/>
        <w:rPr>
          <w:rFonts w:asciiTheme="majorEastAsia" w:eastAsiaTheme="majorEastAsia" w:hAnsiTheme="majorEastAsia"/>
          <w:szCs w:val="21"/>
        </w:rPr>
      </w:pPr>
      <w:r>
        <w:rPr>
          <w:rFonts w:asciiTheme="majorEastAsia" w:eastAsiaTheme="majorEastAsia" w:hAnsiTheme="majorEastAsia" w:cs="FZLTH3K--GBK1-0" w:hint="eastAsia"/>
          <w:color w:val="191919"/>
          <w:kern w:val="0"/>
          <w:szCs w:val="21"/>
        </w:rPr>
        <w:t>到货期</w:t>
      </w:r>
      <w:r>
        <w:rPr>
          <w:rFonts w:asciiTheme="majorEastAsia" w:eastAsiaTheme="majorEastAsia" w:hAnsiTheme="majorEastAsia" w:cs="FZLTH3K--GBK1-0"/>
          <w:color w:val="191919"/>
          <w:kern w:val="0"/>
          <w:szCs w:val="21"/>
        </w:rPr>
        <w:t>：</w:t>
      </w:r>
      <w:r>
        <w:rPr>
          <w:rFonts w:asciiTheme="majorEastAsia" w:eastAsiaTheme="majorEastAsia" w:hAnsiTheme="majorEastAsia" w:cs="FZLTH3K--GBK1-0" w:hint="eastAsia"/>
          <w:color w:val="191919"/>
          <w:kern w:val="0"/>
          <w:szCs w:val="21"/>
        </w:rPr>
        <w:t>一个</w:t>
      </w:r>
      <w:r>
        <w:rPr>
          <w:rFonts w:asciiTheme="majorEastAsia" w:eastAsiaTheme="majorEastAsia" w:hAnsiTheme="majorEastAsia" w:cs="FZLTH3K--GBK1-0"/>
          <w:color w:val="191919"/>
          <w:kern w:val="0"/>
          <w:szCs w:val="21"/>
        </w:rPr>
        <w:t>月内</w:t>
      </w:r>
    </w:p>
    <w:p w:rsidR="003D67BF" w:rsidRPr="00614AFD" w:rsidRDefault="003D67BF" w:rsidP="003D67BF">
      <w:pPr>
        <w:numPr>
          <w:ilvl w:val="1"/>
          <w:numId w:val="21"/>
        </w:numPr>
        <w:spacing w:line="360" w:lineRule="auto"/>
        <w:rPr>
          <w:rFonts w:asciiTheme="majorEastAsia" w:eastAsiaTheme="majorEastAsia" w:hAnsiTheme="majorEastAsia"/>
          <w:szCs w:val="21"/>
        </w:rPr>
      </w:pPr>
      <w:r>
        <w:rPr>
          <w:rFonts w:asciiTheme="majorEastAsia" w:eastAsiaTheme="majorEastAsia" w:hAnsiTheme="majorEastAsia" w:cs="FZLTH3K--GBK1-0" w:hint="eastAsia"/>
          <w:color w:val="191919"/>
          <w:kern w:val="0"/>
          <w:szCs w:val="21"/>
        </w:rPr>
        <w:t>保修</w:t>
      </w:r>
      <w:r>
        <w:rPr>
          <w:rFonts w:asciiTheme="majorEastAsia" w:eastAsiaTheme="majorEastAsia" w:hAnsiTheme="majorEastAsia" w:cs="FZLTH3K--GBK1-0"/>
          <w:color w:val="191919"/>
          <w:kern w:val="0"/>
          <w:szCs w:val="21"/>
        </w:rPr>
        <w:t>：</w:t>
      </w:r>
      <w:r>
        <w:rPr>
          <w:rFonts w:asciiTheme="majorEastAsia" w:eastAsiaTheme="majorEastAsia" w:hAnsiTheme="majorEastAsia" w:cs="FZLTH3K--GBK1-0" w:hint="eastAsia"/>
          <w:color w:val="191919"/>
          <w:kern w:val="0"/>
          <w:szCs w:val="21"/>
        </w:rPr>
        <w:t>5年</w:t>
      </w:r>
      <w:r>
        <w:rPr>
          <w:rFonts w:asciiTheme="majorEastAsia" w:eastAsiaTheme="majorEastAsia" w:hAnsiTheme="majorEastAsia" w:cs="FZLTH3K--GBK1-0"/>
          <w:color w:val="191919"/>
          <w:kern w:val="0"/>
          <w:szCs w:val="21"/>
        </w:rPr>
        <w:t>起</w:t>
      </w:r>
    </w:p>
    <w:p w:rsidR="003D67BF" w:rsidRPr="008D4E1E" w:rsidRDefault="003D67BF" w:rsidP="003D67BF">
      <w:pPr>
        <w:numPr>
          <w:ilvl w:val="1"/>
          <w:numId w:val="21"/>
        </w:numPr>
        <w:spacing w:line="360" w:lineRule="auto"/>
        <w:rPr>
          <w:rFonts w:asciiTheme="majorEastAsia" w:eastAsiaTheme="majorEastAsia" w:hAnsiTheme="majorEastAsia"/>
          <w:szCs w:val="21"/>
        </w:rPr>
      </w:pPr>
      <w:r>
        <w:rPr>
          <w:rFonts w:asciiTheme="majorEastAsia" w:eastAsiaTheme="majorEastAsia" w:hAnsiTheme="majorEastAsia" w:cs="FZLTH3K--GBK1-0" w:hint="eastAsia"/>
          <w:color w:val="191919"/>
          <w:kern w:val="0"/>
          <w:szCs w:val="21"/>
        </w:rPr>
        <w:t>预算</w:t>
      </w:r>
      <w:r>
        <w:rPr>
          <w:rFonts w:asciiTheme="majorEastAsia" w:eastAsiaTheme="majorEastAsia" w:hAnsiTheme="majorEastAsia" w:cs="FZLTH3K--GBK1-0"/>
          <w:color w:val="191919"/>
          <w:kern w:val="0"/>
          <w:szCs w:val="21"/>
        </w:rPr>
        <w:t>：</w:t>
      </w:r>
      <w:r>
        <w:rPr>
          <w:rFonts w:asciiTheme="majorEastAsia" w:eastAsiaTheme="majorEastAsia" w:hAnsiTheme="majorEastAsia" w:cs="FZLTH3K--GBK1-0" w:hint="eastAsia"/>
          <w:color w:val="191919"/>
          <w:kern w:val="0"/>
          <w:szCs w:val="21"/>
        </w:rPr>
        <w:t>18万元</w:t>
      </w: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bookmarkStart w:id="0" w:name="_GoBack"/>
      <w:bookmarkEnd w:id="0"/>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w:t>
      </w:r>
      <w:r>
        <w:rPr>
          <w:rFonts w:ascii="宋体" w:hAnsi="宋体" w:hint="eastAsia"/>
          <w:color w:val="000000"/>
          <w:szCs w:val="21"/>
          <w:u w:val="single"/>
        </w:rPr>
        <w:lastRenderedPageBreak/>
        <w:t>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lastRenderedPageBreak/>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lastRenderedPageBreak/>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3B8" w:rsidRDefault="001073B8" w:rsidP="00C35CAB">
      <w:r>
        <w:separator/>
      </w:r>
    </w:p>
  </w:endnote>
  <w:endnote w:type="continuationSeparator" w:id="0">
    <w:p w:rsidR="001073B8" w:rsidRDefault="001073B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FZLTH3K--GBK1-0">
    <w:altName w:val="等线"/>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3B8" w:rsidRDefault="001073B8" w:rsidP="00C35CAB">
      <w:r>
        <w:separator/>
      </w:r>
    </w:p>
  </w:footnote>
  <w:footnote w:type="continuationSeparator" w:id="0">
    <w:p w:rsidR="001073B8" w:rsidRDefault="001073B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1A00B62"/>
    <w:multiLevelType w:val="multilevel"/>
    <w:tmpl w:val="A694052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7142CA2"/>
    <w:multiLevelType w:val="hybridMultilevel"/>
    <w:tmpl w:val="BA7221C4"/>
    <w:lvl w:ilvl="0" w:tplc="0409000F">
      <w:start w:val="1"/>
      <w:numFmt w:val="decimal"/>
      <w:lvlText w:val="%1."/>
      <w:lvlJc w:val="left"/>
      <w:pPr>
        <w:tabs>
          <w:tab w:val="num" w:pos="420"/>
        </w:tabs>
        <w:ind w:left="420" w:hanging="420"/>
      </w:pPr>
      <w:rPr>
        <w:rFonts w:hint="default"/>
        <w:color w:val="000000"/>
      </w:rPr>
    </w:lvl>
    <w:lvl w:ilvl="1" w:tplc="04090019">
      <w:start w:val="1"/>
      <w:numFmt w:val="lowerLetter"/>
      <w:lvlText w:val="%2)"/>
      <w:lvlJc w:val="left"/>
      <w:pPr>
        <w:tabs>
          <w:tab w:val="num" w:pos="840"/>
        </w:tabs>
        <w:ind w:left="840" w:hanging="420"/>
      </w:pPr>
      <w:rPr>
        <w:rFonts w:hint="default"/>
        <w:color w:val="00000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2E45F04"/>
    <w:multiLevelType w:val="hybridMultilevel"/>
    <w:tmpl w:val="22F8C74E"/>
    <w:lvl w:ilvl="0" w:tplc="AC1AD96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E5F1AAC"/>
    <w:multiLevelType w:val="multilevel"/>
    <w:tmpl w:val="CA8A8356"/>
    <w:lvl w:ilvl="0">
      <w:start w:val="6"/>
      <w:numFmt w:val="decimal"/>
      <w:lvlText w:val="%1"/>
      <w:lvlJc w:val="left"/>
      <w:pPr>
        <w:ind w:left="360" w:hanging="360"/>
      </w:pPr>
    </w:lvl>
    <w:lvl w:ilvl="1">
      <w:start w:val="1"/>
      <w:numFmt w:val="bullet"/>
      <w:lvlText w:val=""/>
      <w:lvlJc w:val="left"/>
      <w:pPr>
        <w:ind w:left="360" w:hanging="360"/>
      </w:pPr>
      <w:rPr>
        <w:rFonts w:ascii="Wingdings" w:hAnsi="Wingdings" w:hint="default"/>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nsid w:val="5FD6689A"/>
    <w:multiLevelType w:val="multilevel"/>
    <w:tmpl w:val="47E0E4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88D5A79"/>
    <w:multiLevelType w:val="singleLevel"/>
    <w:tmpl w:val="688D5A79"/>
    <w:lvl w:ilvl="0">
      <w:start w:val="4"/>
      <w:numFmt w:val="decimal"/>
      <w:suff w:val="nothing"/>
      <w:lvlText w:val="（%1）"/>
      <w:lvlJc w:val="left"/>
    </w:lvl>
  </w:abstractNum>
  <w:abstractNum w:abstractNumId="20">
    <w:nsid w:val="763E093E"/>
    <w:multiLevelType w:val="multilevel"/>
    <w:tmpl w:val="8FCAA1B0"/>
    <w:lvl w:ilvl="0">
      <w:start w:val="2"/>
      <w:numFmt w:val="decimal"/>
      <w:lvlText w:val="%1"/>
      <w:lvlJc w:val="left"/>
      <w:pPr>
        <w:ind w:left="550" w:hanging="550"/>
      </w:pPr>
      <w:rPr>
        <w:rFonts w:hint="default"/>
      </w:rPr>
    </w:lvl>
    <w:lvl w:ilvl="1">
      <w:start w:val="5"/>
      <w:numFmt w:val="decimal"/>
      <w:lvlText w:val="%1.%2"/>
      <w:lvlJc w:val="left"/>
      <w:pPr>
        <w:ind w:left="550" w:hanging="5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5"/>
  </w:num>
  <w:num w:numId="3">
    <w:abstractNumId w:val="14"/>
  </w:num>
  <w:num w:numId="4">
    <w:abstractNumId w:val="9"/>
  </w:num>
  <w:num w:numId="5">
    <w:abstractNumId w:val="6"/>
  </w:num>
  <w:num w:numId="6">
    <w:abstractNumId w:val="16"/>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1"/>
  </w:num>
  <w:num w:numId="14">
    <w:abstractNumId w:val="4"/>
  </w:num>
  <w:num w:numId="15">
    <w:abstractNumId w:val="19"/>
  </w:num>
  <w:num w:numId="16">
    <w:abstractNumId w:val="10"/>
  </w:num>
  <w:num w:numId="17">
    <w:abstractNumId w:val="20"/>
  </w:num>
  <w:num w:numId="18">
    <w:abstractNumId w:val="18"/>
  </w:num>
  <w:num w:numId="19">
    <w:abstractNumId w:val="13"/>
  </w:num>
  <w:num w:numId="20">
    <w:abstractNumId w:val="8"/>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891"/>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73D"/>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073B8"/>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90D31"/>
    <w:rsid w:val="002A093C"/>
    <w:rsid w:val="002A2C93"/>
    <w:rsid w:val="002A2E27"/>
    <w:rsid w:val="002A42B9"/>
    <w:rsid w:val="002A4CBC"/>
    <w:rsid w:val="002C2C5D"/>
    <w:rsid w:val="002C6041"/>
    <w:rsid w:val="002C6BFE"/>
    <w:rsid w:val="002D3EFE"/>
    <w:rsid w:val="002E4F63"/>
    <w:rsid w:val="002E6470"/>
    <w:rsid w:val="002E6538"/>
    <w:rsid w:val="002F22C3"/>
    <w:rsid w:val="002F620B"/>
    <w:rsid w:val="002F689D"/>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D67BF"/>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0F8D"/>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B58EE"/>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3533"/>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97F66"/>
    <w:rsid w:val="00BA56E4"/>
    <w:rsid w:val="00BB002E"/>
    <w:rsid w:val="00BB5D3E"/>
    <w:rsid w:val="00BC0FD1"/>
    <w:rsid w:val="00BC3D9F"/>
    <w:rsid w:val="00BD1633"/>
    <w:rsid w:val="00BD545E"/>
    <w:rsid w:val="00BE3786"/>
    <w:rsid w:val="00BE3C21"/>
    <w:rsid w:val="00C000DC"/>
    <w:rsid w:val="00C14423"/>
    <w:rsid w:val="00C14BD2"/>
    <w:rsid w:val="00C170AE"/>
    <w:rsid w:val="00C24F8B"/>
    <w:rsid w:val="00C26729"/>
    <w:rsid w:val="00C27463"/>
    <w:rsid w:val="00C30094"/>
    <w:rsid w:val="00C31450"/>
    <w:rsid w:val="00C35CAB"/>
    <w:rsid w:val="00C37840"/>
    <w:rsid w:val="00C43321"/>
    <w:rsid w:val="00C478A0"/>
    <w:rsid w:val="00C614AB"/>
    <w:rsid w:val="00C62568"/>
    <w:rsid w:val="00C64849"/>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045A"/>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F20EA4-C898-4062-8A31-B3F50DF8B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679</Words>
  <Characters>3873</Characters>
  <Application>Microsoft Office Word</Application>
  <DocSecurity>0</DocSecurity>
  <Lines>32</Lines>
  <Paragraphs>9</Paragraphs>
  <ScaleCrop>false</ScaleCrop>
  <Company/>
  <LinksUpToDate>false</LinksUpToDate>
  <CharactersWithSpaces>4543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52</cp:revision>
  <cp:lastPrinted>2015-07-01T23:52:00Z</cp:lastPrinted>
  <dcterms:created xsi:type="dcterms:W3CDTF">2021-03-18T02:48:00Z</dcterms:created>
  <dcterms:modified xsi:type="dcterms:W3CDTF">2021-11-19T06:37:00Z</dcterms:modified>
</cp:coreProperties>
</file>